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46.png" ContentType="image/png"/>
  <Override PartName="/word/media/rId32.png" ContentType="image/png"/>
  <Override PartName="/word/media/rId3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 parliamentary voting behaviour of</w:t>
      </w:r>
      <w:r>
        <w:t xml:space="preserve"> </w:t>
      </w:r>
      <w:r>
        <w:t xml:space="preserve">‘teal’</w:t>
      </w:r>
      <w:r>
        <w:t xml:space="preserve"> </w:t>
      </w:r>
      <w:r>
        <w:t xml:space="preserve">independent MPs</w:t>
      </w:r>
    </w:p>
    <w:p>
      <w:pPr>
        <w:pStyle w:val="Author"/>
      </w:pPr>
      <w:r>
        <w:t xml:space="preserve">Pat Leslie</w:t>
      </w:r>
    </w:p>
    <w:p>
      <w:pPr>
        <w:pStyle w:val="Date"/>
      </w:pPr>
      <w:r>
        <w:t xml:space="preserve">2025-02-07</w:t>
      </w:r>
    </w:p>
    <w:p>
      <w:pPr>
        <w:pStyle w:val="AbstractTitle"/>
      </w:pPr>
      <w:r>
        <w:t xml:space="preserve">Abstract</w:t>
      </w:r>
    </w:p>
    <w:p>
      <w:pPr>
        <w:pStyle w:val="Abstract"/>
      </w:pPr>
      <w:r>
        <w:t xml:space="preserve">abstract goes here</w:t>
      </w:r>
    </w:p>
    <w:p>
      <w:pPr>
        <w:pStyle w:val="FirstParagraph"/>
      </w:pPr>
      <w:r>
        <w:t xml:space="preserve">Before losing his seat, Dave Sharma (Liberal MP for Wentworth) said of</w:t>
      </w:r>
      <w:r>
        <w:t xml:space="preserve"> </w:t>
      </w:r>
      <w:r>
        <w:t xml:space="preserve">the teals:</w:t>
      </w:r>
      <w:r>
        <w:t xml:space="preserve"> </w:t>
      </w:r>
      <w:r>
        <w:t xml:space="preserve">“If it looks like a political party, if it acts like a</w:t>
      </w:r>
      <w:r>
        <w:t xml:space="preserve"> </w:t>
      </w:r>
      <w:r>
        <w:t xml:space="preserve">political party, if it feels like a political party, I would suggest it</w:t>
      </w:r>
      <w:r>
        <w:t xml:space="preserve"> </w:t>
      </w:r>
      <w:r>
        <w:t xml:space="preserve">is a political party.”</w:t>
      </w:r>
    </w:p>
    <w:p>
      <w:pPr>
        <w:pStyle w:val="BodyText"/>
      </w:pPr>
      <w:r>
        <w:t xml:space="preserve">The teal independents are, of course, not formally a party in Australian</w:t>
      </w:r>
      <w:r>
        <w:t xml:space="preserve"> </w:t>
      </w:r>
      <w:r>
        <w:t xml:space="preserve">law</w:t>
      </w:r>
      <w:r>
        <w:rPr>
          <w:rStyle w:val="FootnoteReference"/>
        </w:rPr>
        <w:footnoteReference w:id="20"/>
      </w:r>
      <w:r>
        <w:t xml:space="preserve">, but their common funder Climate 200 does have a (short)</w:t>
      </w:r>
      <w:r>
        <w:t xml:space="preserve"> </w:t>
      </w:r>
      <w:hyperlink r:id="rId21">
        <w:r>
          <w:rPr>
            <w:rStyle w:val="Hyperlink"/>
          </w:rPr>
          <w:t xml:space="preserve">policy</w:t>
        </w:r>
        <w:r>
          <w:rPr>
            <w:rStyle w:val="Hyperlink"/>
          </w:rPr>
          <w:t xml:space="preserve"> </w:t>
        </w:r>
        <w:r>
          <w:rPr>
            <w:rStyle w:val="Hyperlink"/>
          </w:rPr>
          <w:t xml:space="preserve">platform</w:t>
        </w:r>
      </w:hyperlink>
      <w:r>
        <w:t xml:space="preserve"> </w:t>
      </w:r>
      <w:r>
        <w:t xml:space="preserve">on which financial</w:t>
      </w:r>
      <w:r>
        <w:t xml:space="preserve"> </w:t>
      </w:r>
      <w:r>
        <w:t xml:space="preserve">support is presumably contingent. They also provide centralised</w:t>
      </w:r>
      <w:r>
        <w:t xml:space="preserve"> </w:t>
      </w:r>
      <w:r>
        <w:t xml:space="preserve">strategic communications, analytics, and training to campaign managers.</w:t>
      </w:r>
      <w:r>
        <w:t xml:space="preserve"> </w:t>
      </w:r>
      <w:r>
        <w:t xml:space="preserve">On the other hand, the label</w:t>
      </w:r>
      <w:r>
        <w:t xml:space="preserve"> </w:t>
      </w:r>
      <w:r>
        <w:t xml:space="preserve">‘teal’</w:t>
      </w:r>
      <w:r>
        <w:t xml:space="preserve"> </w:t>
      </w:r>
      <w:r>
        <w:t xml:space="preserve">has been called</w:t>
      </w:r>
      <w:r>
        <w:t xml:space="preserve"> </w:t>
      </w:r>
      <w:r>
        <w:t xml:space="preserve">“lazy journalism—a</w:t>
      </w:r>
      <w:r>
        <w:t xml:space="preserve"> </w:t>
      </w:r>
      <w:r>
        <w:t xml:space="preserve">shorthand to describe what is otherwise a diverse movement of different</w:t>
      </w:r>
      <w:r>
        <w:t xml:space="preserve"> </w:t>
      </w:r>
      <w:r>
        <w:t xml:space="preserve">communities, groups and individuals”</w:t>
      </w:r>
      <w:r>
        <w:t xml:space="preserve"> </w:t>
      </w:r>
      <w:r>
        <w:t xml:space="preserve">(Hendriks and Reid 2023, 293)</w:t>
      </w:r>
      <w:r>
        <w:t xml:space="preserve">.</w:t>
      </w:r>
    </w:p>
    <w:p>
      <w:pPr>
        <w:pStyle w:val="BodyText"/>
      </w:pPr>
      <w:r>
        <w:t xml:space="preserve">The purpose of this post is to revisit the ongoing argument about the</w:t>
      </w:r>
      <w:r>
        <w:t xml:space="preserve"> </w:t>
      </w:r>
      <w:r>
        <w:t xml:space="preserve">‘party-ness’</w:t>
      </w:r>
      <w:r>
        <w:t xml:space="preserve"> </w:t>
      </w:r>
      <w:r>
        <w:t xml:space="preserve">of the teals using a criterion other than electoral</w:t>
      </w:r>
      <w:r>
        <w:t xml:space="preserve"> </w:t>
      </w:r>
      <w:r>
        <w:t xml:space="preserve">campaigns and organisation. Using the Parliament of Australia’s</w:t>
      </w:r>
      <w:r>
        <w:t xml:space="preserve"> </w:t>
      </w:r>
      <w:r>
        <w:t xml:space="preserve">Divisions database, I analyse voting patterns in the House of</w:t>
      </w:r>
      <w:r>
        <w:t xml:space="preserve"> </w:t>
      </w:r>
      <w:r>
        <w:t xml:space="preserve">Representatives from June 2022 to present using party cohesion scores,</w:t>
      </w:r>
      <w:r>
        <w:t xml:space="preserve"> </w:t>
      </w:r>
      <w:r>
        <w:t xml:space="preserve">as well as an unfolding technique known as optimal classification</w:t>
      </w:r>
      <w:r>
        <w:t xml:space="preserve"> </w:t>
      </w:r>
      <w:r>
        <w:t xml:space="preserve">(Poole 2000)</w:t>
      </w:r>
      <w:r>
        <w:t xml:space="preserve">, a form of ideal point analysis.</w:t>
      </w:r>
    </w:p>
    <w:p>
      <w:pPr>
        <w:pStyle w:val="BodyText"/>
      </w:pPr>
      <w:r>
        <w:t xml:space="preserve">The results show two things: first, that the teals’ voting coherence was</w:t>
      </w:r>
      <w:r>
        <w:t xml:space="preserve"> </w:t>
      </w:r>
      <w:r>
        <w:t xml:space="preserve">reasonably high, and comparable with the registered parties. There is</w:t>
      </w:r>
      <w:r>
        <w:t xml:space="preserve"> </w:t>
      </w:r>
      <w:r>
        <w:t xml:space="preserve">little to separate them in policy terms, except on votes related to</w:t>
      </w:r>
      <w:r>
        <w:t xml:space="preserve"> </w:t>
      </w:r>
      <w:r>
        <w:t xml:space="preserve">amending the</w:t>
      </w:r>
      <w:r>
        <w:t xml:space="preserve"> </w:t>
      </w:r>
      <w:r>
        <w:rPr>
          <w:i/>
          <w:iCs/>
        </w:rPr>
        <w:t xml:space="preserve">Fair Work Act 2009</w:t>
      </w:r>
      <w:r>
        <w:t xml:space="preserve">, which have split the teals several</w:t>
      </w:r>
      <w:r>
        <w:t xml:space="preserve"> </w:t>
      </w:r>
      <w:r>
        <w:t xml:space="preserve">times (in these votes, Victorian teals tended to vote with the</w:t>
      </w:r>
      <w:r>
        <w:t xml:space="preserve"> </w:t>
      </w:r>
      <w:r>
        <w:t xml:space="preserve">government and others with the opposition but not without exception) and</w:t>
      </w:r>
      <w:r>
        <w:t xml:space="preserve"> </w:t>
      </w:r>
      <w:r>
        <w:t xml:space="preserve">occasionally on other divisions including one vote on the</w:t>
      </w:r>
      <w:r>
        <w:t xml:space="preserve"> </w:t>
      </w:r>
      <w:hyperlink r:id="rId22">
        <w:r>
          <w:rPr>
            <w:rStyle w:val="Hyperlink"/>
          </w:rPr>
          <w:t xml:space="preserve">Hamas attacks</w:t>
        </w:r>
        <w:r>
          <w:rPr>
            <w:rStyle w:val="Hyperlink"/>
          </w:rPr>
          <w:t xml:space="preserve"> </w:t>
        </w:r>
        <w:r>
          <w:rPr>
            <w:rStyle w:val="Hyperlink"/>
          </w:rPr>
          <w:t xml:space="preserve">on Israel</w:t>
        </w:r>
      </w:hyperlink>
      <w:r>
        <w:t xml:space="preserve">.</w:t>
      </w:r>
    </w:p>
    <w:p>
      <w:pPr>
        <w:pStyle w:val="BodyText"/>
      </w:pPr>
      <w:r>
        <w:t xml:space="preserve">Second, this post reveals the effect that a record 16-strong cross-bench</w:t>
      </w:r>
      <w:r>
        <w:t xml:space="preserve"> </w:t>
      </w:r>
      <w:r>
        <w:t xml:space="preserve">(10 more than the previous high) has had on the structure of</w:t>
      </w:r>
      <w:r>
        <w:t xml:space="preserve"> </w:t>
      </w:r>
      <w:r>
        <w:t xml:space="preserve">parliamentary voting. Voting is now split on two dimensions: a primary</w:t>
      </w:r>
      <w:r>
        <w:t xml:space="preserve"> </w:t>
      </w:r>
      <w:r>
        <w:t xml:space="preserve">government-opposition dimension, and an alternative policy dimension,</w:t>
      </w:r>
      <w:r>
        <w:t xml:space="preserve"> </w:t>
      </w:r>
      <w:r>
        <w:t xml:space="preserve">which splits off minor parties and independents from the two major party</w:t>
      </w:r>
      <w:r>
        <w:t xml:space="preserve"> </w:t>
      </w:r>
      <w:r>
        <w:t xml:space="preserve">groupings. In this two dimensional space, the teals occupy an expected</w:t>
      </w:r>
      <w:r>
        <w:t xml:space="preserve"> </w:t>
      </w:r>
      <w:r>
        <w:t xml:space="preserve">central position between the two major parties on the primary dimension</w:t>
      </w:r>
      <w:r>
        <w:t xml:space="preserve"> </w:t>
      </w:r>
      <w:r>
        <w:t xml:space="preserve">of voting, while occupying a left-of-centre position on the second</w:t>
      </w:r>
      <w:r>
        <w:t xml:space="preserve"> </w:t>
      </w:r>
      <w:r>
        <w:t xml:space="preserve">‘alternative’</w:t>
      </w:r>
      <w:r>
        <w:t xml:space="preserve"> </w:t>
      </w:r>
      <w:r>
        <w:t xml:space="preserve">policy dimension.</w:t>
      </w:r>
    </w:p>
    <w:p>
      <w:pPr>
        <w:pStyle w:val="BodyText"/>
      </w:pPr>
      <w:r>
        <w:t xml:space="preserve">Recent headlines have shown that the teals’ voting patterns are of</w:t>
      </w:r>
      <w:r>
        <w:t xml:space="preserve"> </w:t>
      </w:r>
      <w:r>
        <w:t xml:space="preserve">interest to the major parties as lines of attack, and this post serves</w:t>
      </w:r>
      <w:r>
        <w:t xml:space="preserve"> </w:t>
      </w:r>
      <w:r>
        <w:t xml:space="preserve">as a fact-based assessment of claims made on this topic. For example,</w:t>
      </w:r>
      <w:r>
        <w:t xml:space="preserve"> </w:t>
      </w:r>
      <w:r>
        <w:t xml:space="preserve">there is Peter Dutton’s recent claim that</w:t>
      </w:r>
      <w:r>
        <w:t xml:space="preserve"> </w:t>
      </w:r>
      <w:r>
        <w:t xml:space="preserve">“Some of the teals – Monique</w:t>
      </w:r>
      <w:r>
        <w:t xml:space="preserve"> </w:t>
      </w:r>
      <w:r>
        <w:t xml:space="preserve">Ryan and Sophie Scamps, they will vote with Labor because they’re</w:t>
      </w:r>
      <w:r>
        <w:t xml:space="preserve"> </w:t>
      </w:r>
      <w:r>
        <w:t xml:space="preserve">Greens, they’re not teals”</w:t>
      </w:r>
      <w:r>
        <w:t xml:space="preserve"> </w:t>
      </w:r>
      <w:r>
        <w:t xml:space="preserve">(Burton 2024)</w:t>
      </w:r>
      <w:r>
        <w:t xml:space="preserve">. While it’s true that Monique</w:t>
      </w:r>
      <w:r>
        <w:t xml:space="preserve"> </w:t>
      </w:r>
      <w:r>
        <w:t xml:space="preserve">Ryan’s ideal point sits on the left of the teals grouping, Scamps sits</w:t>
      </w:r>
      <w:r>
        <w:t xml:space="preserve"> </w:t>
      </w:r>
      <w:r>
        <w:t xml:space="preserve">closer to the Liberals on the right. In any case, both Ryan and Scamps’s</w:t>
      </w:r>
      <w:r>
        <w:t xml:space="preserve"> </w:t>
      </w:r>
      <w:r>
        <w:t xml:space="preserve">points sit closer to one another than to either the Greens or the</w:t>
      </w:r>
      <w:r>
        <w:t xml:space="preserve"> </w:t>
      </w:r>
      <w:r>
        <w:t xml:space="preserve">Liberals.</w:t>
      </w:r>
    </w:p>
    <w:bookmarkStart w:id="25" w:name="data"/>
    <w:p>
      <w:pPr>
        <w:pStyle w:val="Heading3"/>
      </w:pPr>
      <w:r>
        <w:t xml:space="preserve">0.1 Data</w:t>
      </w:r>
    </w:p>
    <w:p>
      <w:pPr>
        <w:pStyle w:val="FirstParagraph"/>
      </w:pPr>
      <w:r>
        <w:t xml:space="preserve">The data for this blog came from the</w:t>
      </w:r>
      <w:r>
        <w:t xml:space="preserve"> </w:t>
      </w:r>
      <w:hyperlink r:id="rId23">
        <w:r>
          <w:rPr>
            <w:rStyle w:val="Hyperlink"/>
          </w:rPr>
          <w:t xml:space="preserve">Parliament of Australia</w:t>
        </w:r>
        <w:r>
          <w:rPr>
            <w:rStyle w:val="Hyperlink"/>
          </w:rPr>
          <w:t xml:space="preserve"> </w:t>
        </w:r>
        <w:r>
          <w:rPr>
            <w:rStyle w:val="Hyperlink"/>
          </w:rPr>
          <w:t xml:space="preserve">website</w:t>
        </w:r>
      </w:hyperlink>
      <w:r>
        <w:t xml:space="preserve">, which makes Votes and</w:t>
      </w:r>
      <w:r>
        <w:t xml:space="preserve"> </w:t>
      </w:r>
      <w:r>
        <w:t xml:space="preserve">Proceedings of the House available in machine readable format. The code</w:t>
      </w:r>
      <w:r>
        <w:t xml:space="preserve"> </w:t>
      </w:r>
      <w:r>
        <w:t xml:space="preserve">used to process this data into a format suitable for analysis is</w:t>
      </w:r>
      <w:r>
        <w:t xml:space="preserve"> </w:t>
      </w:r>
      <w:r>
        <w:t xml:space="preserve">available at the</w:t>
      </w:r>
      <w:r>
        <w:t xml:space="preserve"> </w:t>
      </w:r>
      <w:hyperlink r:id="rId24">
        <w:r>
          <w:rPr>
            <w:rStyle w:val="Hyperlink"/>
          </w:rPr>
          <w:t xml:space="preserve">teal_ideal</w:t>
        </w:r>
      </w:hyperlink>
      <w:r>
        <w:t xml:space="preserve"> </w:t>
      </w:r>
      <w:r>
        <w:t xml:space="preserve">github repo. I applied minor modifications to the data in order to</w:t>
      </w:r>
      <w:r>
        <w:t xml:space="preserve"> </w:t>
      </w:r>
      <w:r>
        <w:t xml:space="preserve">account for the departure and arrivals of new MPs mid-term, to record</w:t>
      </w:r>
      <w:r>
        <w:t xml:space="preserve"> </w:t>
      </w:r>
      <w:r>
        <w:t xml:space="preserve">abstentions, and to identify the six independent MPs who were elected</w:t>
      </w:r>
      <w:r>
        <w:t xml:space="preserve"> </w:t>
      </w:r>
      <w:r>
        <w:t xml:space="preserve">for the first time with the help of Climate 200 (Chaney, Daniel, Ryan,</w:t>
      </w:r>
      <w:r>
        <w:t xml:space="preserve"> </w:t>
      </w:r>
      <w:r>
        <w:t xml:space="preserve">Scamps, Spender, and Tink), labelled</w:t>
      </w:r>
      <w:r>
        <w:t xml:space="preserve"> </w:t>
      </w:r>
      <w:r>
        <w:t xml:space="preserve">‘teals’</w:t>
      </w:r>
      <w:r>
        <w:t xml:space="preserve">. I also expanded the</w:t>
      </w:r>
      <w:r>
        <w:t xml:space="preserve"> </w:t>
      </w:r>
      <w:r>
        <w:t xml:space="preserve">definition to also include the four MPs who took Climate 200 funding as</w:t>
      </w:r>
      <w:r>
        <w:t xml:space="preserve"> </w:t>
      </w:r>
      <w:r>
        <w:t xml:space="preserve">part of their reelection campaigns (Steggall, Haines, Wilkie, and</w:t>
      </w:r>
      <w:r>
        <w:t xml:space="preserve"> </w:t>
      </w:r>
      <w:r>
        <w:t xml:space="preserve">Sharkie), labelled</w:t>
      </w:r>
      <w:r>
        <w:t xml:space="preserve"> </w:t>
      </w:r>
      <w:r>
        <w:t xml:space="preserve">‘teal plus’</w:t>
      </w:r>
      <w:r>
        <w:t xml:space="preserve">.</w:t>
      </w:r>
    </w:p>
    <w:bookmarkEnd w:id="25"/>
    <w:bookmarkStart w:id="29" w:name="party-cohesion"/>
    <w:p>
      <w:pPr>
        <w:pStyle w:val="Heading3"/>
      </w:pPr>
      <w:r>
        <w:t xml:space="preserve">0.2</w:t>
      </w:r>
      <w:r>
        <w:t xml:space="preserve"> </w:t>
      </w:r>
      <w:r>
        <w:t xml:space="preserve">‘Party’</w:t>
      </w:r>
      <w:r>
        <w:t xml:space="preserve"> </w:t>
      </w:r>
      <w:r>
        <w:t xml:space="preserve">Cohesion</w:t>
      </w:r>
    </w:p>
    <w:p>
      <w:pPr>
        <w:pStyle w:val="FirstParagraph"/>
      </w:pPr>
      <w:hyperlink w:anchor="tbl-summary">
        <w:r>
          <w:rPr>
            <w:rStyle w:val="Hyperlink"/>
          </w:rPr>
          <w:t xml:space="preserve">Table 1</w:t>
        </w:r>
      </w:hyperlink>
      <w:r>
        <w:t xml:space="preserve"> </w:t>
      </w:r>
      <w:r>
        <w:t xml:space="preserve">gives the number of MPs in each parliamentary grouping, the</w:t>
      </w:r>
      <w:r>
        <w:t xml:space="preserve"> </w:t>
      </w:r>
      <w:r>
        <w:t xml:space="preserve">average division attendance rate among MPs, and two measures of party</w:t>
      </w:r>
      <w:r>
        <w:t xml:space="preserve"> </w:t>
      </w:r>
      <w:r>
        <w:t xml:space="preserve">cohesion, commonly used in the legislative politics literature: the Rice</w:t>
      </w:r>
      <w:r>
        <w:t xml:space="preserve"> </w:t>
      </w:r>
      <w:r>
        <w:t xml:space="preserve">index</w:t>
      </w:r>
      <w:r>
        <w:t xml:space="preserve"> </w:t>
      </w:r>
      <w:r>
        <w:t xml:space="preserve">(1925)</w:t>
      </w:r>
      <w:r>
        <w:t xml:space="preserve"> </w:t>
      </w:r>
      <w:r>
        <w:t xml:space="preserve">and the agreement index</w:t>
      </w:r>
      <w:r>
        <w:t xml:space="preserve"> </w:t>
      </w:r>
      <w:r>
        <w:t xml:space="preserve">(Hix, Noury, and Roland 2005)</w:t>
      </w:r>
      <w:r>
        <w:t xml:space="preserve">. Beginning with</w:t>
      </w:r>
      <w:r>
        <w:t xml:space="preserve"> </w:t>
      </w:r>
      <w:r>
        <w:t xml:space="preserve">average attendance, cross-bench MPs, including the Greens, attend votes</w:t>
      </w:r>
      <w:r>
        <w:t xml:space="preserve"> </w:t>
      </w:r>
      <w:r>
        <w:t xml:space="preserve">with greater frequency than MPs from major parties. This is explained by</w:t>
      </w:r>
      <w:r>
        <w:t xml:space="preserve"> </w:t>
      </w:r>
      <w:r>
        <w:t xml:space="preserve">two factors. First, MPs from major parties are bound to vote with their</w:t>
      </w:r>
      <w:r>
        <w:t xml:space="preserve"> </w:t>
      </w:r>
      <w:r>
        <w:t xml:space="preserve">party and there are severe sanctions for MPs who</w:t>
      </w:r>
      <w:r>
        <w:t xml:space="preserve"> </w:t>
      </w:r>
      <w:r>
        <w:t xml:space="preserve">‘cross the floor’</w:t>
      </w:r>
      <w:r>
        <w:t xml:space="preserve">. Less</w:t>
      </w:r>
      <w:r>
        <w:t xml:space="preserve"> </w:t>
      </w:r>
      <w:r>
        <w:t xml:space="preserve">severe sanctions exist for abstention, so such MPs who do not support</w:t>
      </w:r>
      <w:r>
        <w:t xml:space="preserve"> </w:t>
      </w:r>
      <w:r>
        <w:t xml:space="preserve">their party may indicate their preference in this way. Second, while</w:t>
      </w:r>
      <w:r>
        <w:t xml:space="preserve"> </w:t>
      </w:r>
      <w:r>
        <w:t xml:space="preserve">attendance is generally required of MPs when major parties divide, only</w:t>
      </w:r>
      <w:r>
        <w:t xml:space="preserve"> </w:t>
      </w:r>
      <w:r>
        <w:t xml:space="preserve">smaller numbers of MPs are required to block motions and bills</w:t>
      </w:r>
      <w:r>
        <w:t xml:space="preserve"> </w:t>
      </w:r>
      <w:r>
        <w:t xml:space="preserve">originating from the cross-bench. This leaves other major party MPs free</w:t>
      </w:r>
      <w:r>
        <w:t xml:space="preserve"> </w:t>
      </w:r>
      <w:r>
        <w:t xml:space="preserve">to use their time in Canberra in different ways. The lowest division</w:t>
      </w:r>
      <w:r>
        <w:t xml:space="preserve"> </w:t>
      </w:r>
      <w:r>
        <w:t xml:space="preserve">attendance rates are typically seen among the government and opposition</w:t>
      </w:r>
      <w:r>
        <w:t xml:space="preserve"> </w:t>
      </w:r>
      <w:r>
        <w:t xml:space="preserve">frontbenches.</w:t>
      </w:r>
    </w:p>
    <w:tbl>
      <w:tblPr>
        <w:tblStyle w:val="Table"/>
        <w:tblW w:type="pct" w:w="5000"/>
        <w:tblLayout w:type="fixed"/>
        <w:tblLook w:firstRow="0" w:lastRow="0" w:firstColumn="0" w:lastColumn="0" w:noHBand="0" w:noVBand="0" w:val="0000"/>
      </w:tblPr>
      <w:tblGrid>
        <w:gridCol w:w="7920"/>
      </w:tblGrid>
      <w:tr>
        <w:tc>
          <w:tcPr/>
          <w:bookmarkStart w:id="26" w:name="tbl-summary"/>
          <w:p>
            <w:pPr>
              <w:jc w:val="center"/>
            </w:pPr>
            <w:pPr>
              <w:jc w:val="start"/>
              <w:spacing w:before="200"/>
              <w:pStyle w:val="ImageCaption"/>
            </w:pPr>
            <w:r>
              <w:t xml:space="preserve">Table 1: Summary Statistics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ALP</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Lib.</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Nat.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Greens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Teals+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MPs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78</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Ave. % Participation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58.83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90.16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88.7</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Ave. Rice Index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0.83</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Ave. Agreement Index</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0.84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0.83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0.89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0.83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0.75</w:t>
                  </w:r>
                </w:p>
              </w:tc>
            </w:tr>
            <w:tr>
              <w:trPr>
                <w:trHeight w:val="360" w:hRule="auto"/>
              </w:trPr>
              footer1
              <w:tc>
                <w:tcPr>
                  <w:gridSpan w:val="7"/>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Note: The total number of MPs for each party may vary from current numbers. Four MPs left the House over the period (Tudge, Robert, Murphy and Morrison, replaced by Caldwell, Doyle, Beylea and Kennedy). Two Coalition MPs (Gee and Broadbent) became independents and so are 'double counted'. The Speaker, Milton Dick, who did not cast a vote, is excluded from the list of ALP MPs. Figures are rounded to two decimal places. Labor's precise Rice index score is 0.9997561 due to five MPs crossing the floor during a conscience vote on the Third Reading of the Restoring Territory Rights Bill 2022.</w:t>
                  </w:r>
                </w:p>
              </w:tc>
            </w:tr>
          </w:tbl>
          <w:bookmarkEnd w:id="26"/>
        </w:tc>
      </w:tr>
    </w:tbl>
    <w:p>
      <w:pPr>
        <w:pStyle w:val="BodyText"/>
      </w:pPr>
      <w:r>
        <w:t xml:space="preserve">Attendance rates provide important context for the two indexes of party</w:t>
      </w:r>
      <w:r>
        <w:t xml:space="preserve"> </w:t>
      </w:r>
      <w:r>
        <w:t xml:space="preserve">cohesion. The Rice index gives the proportion of votes in agreement on a</w:t>
      </w:r>
      <w:r>
        <w:t xml:space="preserve"> </w:t>
      </w:r>
      <w:r>
        <w:t xml:space="preserve">division (equal to 1 when all MPs vote together, and zero when MPs are</w:t>
      </w:r>
      <w:r>
        <w:t xml:space="preserve"> </w:t>
      </w:r>
      <w:r>
        <w:t xml:space="preserve">split evenly) and takes into account only votes for and against a</w:t>
      </w:r>
      <w:r>
        <w:t xml:space="preserve"> </w:t>
      </w:r>
      <w:r>
        <w:t xml:space="preserve">motion, ignoring abstentions. The agreement index extends the rice index</w:t>
      </w:r>
      <w:r>
        <w:t xml:space="preserve"> </w:t>
      </w:r>
      <w:r>
        <w:t xml:space="preserve">to include extensions (equal to one when all MPs vote or abstain</w:t>
      </w:r>
      <w:r>
        <w:t xml:space="preserve"> </w:t>
      </w:r>
      <w:r>
        <w:t xml:space="preserve">together, and zero when MPs are divided evenly across for, against, and</w:t>
      </w:r>
      <w:r>
        <w:t xml:space="preserve"> </w:t>
      </w:r>
      <w:r>
        <w:t xml:space="preserve">abstain).</w:t>
      </w:r>
    </w:p>
    <w:p>
      <w:pPr>
        <w:pStyle w:val="BodyText"/>
      </w:pPr>
      <w:r>
        <w:t xml:space="preserve">In the Rice index, all registered political parties score extremely</w:t>
      </w:r>
      <w:r>
        <w:t xml:space="preserve"> </w:t>
      </w:r>
      <w:r>
        <w:t xml:space="preserve">highly. Compared to Westminster, the party discipline is far higher,</w:t>
      </w:r>
      <w:r>
        <w:t xml:space="preserve"> </w:t>
      </w:r>
      <w:r>
        <w:t xml:space="preserve">almost absolute. The only MP of a major party to cross the floor in the</w:t>
      </w:r>
      <w:r>
        <w:t xml:space="preserve"> </w:t>
      </w:r>
      <w:r>
        <w:t xml:space="preserve">parliament so far has been Bridget Archer (Lib.), whose moderate</w:t>
      </w:r>
      <w:r>
        <w:t xml:space="preserve"> </w:t>
      </w:r>
      <w:r>
        <w:t xml:space="preserve">position is widely seen as an important factor in holding her marginal</w:t>
      </w:r>
      <w:r>
        <w:t xml:space="preserve"> </w:t>
      </w:r>
      <w:r>
        <w:t xml:space="preserve">seat. In comparison, teal MPs are more likely to take opposing</w:t>
      </w:r>
      <w:r>
        <w:t xml:space="preserve"> </w:t>
      </w:r>
      <w:r>
        <w:t xml:space="preserve">positions. An average Rice index score of 0.89</w:t>
      </w:r>
      <w:r>
        <w:t xml:space="preserve"> </w:t>
      </w:r>
      <w:hyperlink r:id="rId27">
        <w:r>
          <w:rPr>
            <w:rStyle w:val="Hyperlink"/>
          </w:rPr>
          <w:t xml:space="preserve">compares favourably with</w:t>
        </w:r>
        <w:r>
          <w:rPr>
            <w:rStyle w:val="Hyperlink"/>
          </w:rPr>
          <w:t xml:space="preserve"> </w:t>
        </w:r>
        <w:r>
          <w:rPr>
            <w:rStyle w:val="Hyperlink"/>
          </w:rPr>
          <w:t xml:space="preserve">scores for Republicans and Democrats in the U.S. House of</w:t>
        </w:r>
        <w:r>
          <w:rPr>
            <w:rStyle w:val="Hyperlink"/>
          </w:rPr>
          <w:t xml:space="preserve"> </w:t>
        </w:r>
        <w:r>
          <w:rPr>
            <w:rStyle w:val="Hyperlink"/>
          </w:rPr>
          <w:t xml:space="preserve">Representatives</w:t>
        </w:r>
      </w:hyperlink>
      <w:r>
        <w:t xml:space="preserve">, and a little</w:t>
      </w:r>
      <w:r>
        <w:t xml:space="preserve"> </w:t>
      </w:r>
      <w:r>
        <w:t xml:space="preserve">below</w:t>
      </w:r>
      <w:r>
        <w:t xml:space="preserve"> </w:t>
      </w:r>
      <w:hyperlink r:id="rId28">
        <w:r>
          <w:rPr>
            <w:rStyle w:val="Hyperlink"/>
          </w:rPr>
          <w:t xml:space="preserve">typical scores for parties in the</w:t>
        </w:r>
        <w:r>
          <w:rPr>
            <w:rStyle w:val="Hyperlink"/>
          </w:rPr>
          <w:t xml:space="preserve"> </w:t>
        </w:r>
        <w:r>
          <w:rPr>
            <w:rStyle w:val="Hyperlink"/>
          </w:rPr>
          <w:t xml:space="preserve">UK</w:t>
        </w:r>
      </w:hyperlink>
      <w:r>
        <w:t xml:space="preserve">.</w:t>
      </w:r>
    </w:p>
    <w:p>
      <w:pPr>
        <w:pStyle w:val="BodyText"/>
      </w:pPr>
      <w:r>
        <w:t xml:space="preserve">Ignoring abstention rates, then, teal independents are approaching the</w:t>
      </w:r>
      <w:r>
        <w:t xml:space="preserve"> </w:t>
      </w:r>
      <w:r>
        <w:t xml:space="preserve">cohesion of fully fledged political party, except that they have no</w:t>
      </w:r>
      <w:r>
        <w:t xml:space="preserve"> </w:t>
      </w:r>
      <w:r>
        <w:t xml:space="preserve">mechanism to enforce parliamentary unity. Applying the agreement index</w:t>
      </w:r>
      <w:r>
        <w:t xml:space="preserve"> </w:t>
      </w:r>
      <w:r>
        <w:t xml:space="preserve">(which takes into account abstention), teal MPs are similarly cohesive</w:t>
      </w:r>
      <w:r>
        <w:t xml:space="preserve"> </w:t>
      </w:r>
      <w:r>
        <w:t xml:space="preserve">to the Australian major parties, suggesting voting behaviour broadly</w:t>
      </w:r>
      <w:r>
        <w:t xml:space="preserve"> </w:t>
      </w:r>
      <w:r>
        <w:t xml:space="preserve">consistent with partisanship.</w:t>
      </w:r>
    </w:p>
    <w:p>
      <w:pPr>
        <w:pStyle w:val="BodyText"/>
      </w:pPr>
      <w:r>
        <w:t xml:space="preserve">The teals-plus grouping is less cohesive than the newly-elected teal</w:t>
      </w:r>
      <w:r>
        <w:t xml:space="preserve"> </w:t>
      </w:r>
      <w:r>
        <w:t xml:space="preserve">grouping on both measures. As we will see, this is largely due to the</w:t>
      </w:r>
      <w:r>
        <w:t xml:space="preserve"> </w:t>
      </w:r>
      <w:r>
        <w:t xml:space="preserve">divergent voting patterns of Andrew Wilkie (Ind., Tas.) and Rebekha</w:t>
      </w:r>
      <w:r>
        <w:t xml:space="preserve"> </w:t>
      </w:r>
      <w:r>
        <w:t xml:space="preserve">Sharkie (Centre Alliance, SA). The other two returning teal</w:t>
      </w:r>
      <w:r>
        <w:t xml:space="preserve"> </w:t>
      </w:r>
      <w:r>
        <w:t xml:space="preserve">independents, Zali Steggall (NSW) and Helen Haines (Vic.) were more</w:t>
      </w:r>
      <w:r>
        <w:t xml:space="preserve"> </w:t>
      </w:r>
      <w:r>
        <w:t xml:space="preserve">likely to vote with the core grouping.</w:t>
      </w:r>
    </w:p>
    <w:bookmarkEnd w:id="29"/>
    <w:bookmarkStart w:id="45" w:name="spatial-voting"/>
    <w:p>
      <w:pPr>
        <w:pStyle w:val="Heading3"/>
      </w:pPr>
      <w:r>
        <w:t xml:space="preserve">0.3 Spatial Voting</w:t>
      </w:r>
    </w:p>
    <w:p>
      <w:pPr>
        <w:pStyle w:val="FirstParagraph"/>
      </w:pPr>
      <w:r>
        <w:t xml:space="preserve">Next, I take a look at the structure of parliamentary voting at the</w:t>
      </w:r>
      <w:r>
        <w:t xml:space="preserve"> </w:t>
      </w:r>
      <w:r>
        <w:t xml:space="preserve">individual level using the non-parametric optimal classification (OC)</w:t>
      </w:r>
      <w:r>
        <w:t xml:space="preserve"> </w:t>
      </w:r>
      <w:r>
        <w:t xml:space="preserve">model</w:t>
      </w:r>
      <w:r>
        <w:t xml:space="preserve"> </w:t>
      </w:r>
      <w:r>
        <w:t xml:space="preserve">(Poole 2000)</w:t>
      </w:r>
      <w:r>
        <w:t xml:space="preserve">. OC models (as do other binary unfolding or ideal</w:t>
      </w:r>
      <w:r>
        <w:t xml:space="preserve"> </w:t>
      </w:r>
      <w:r>
        <w:t xml:space="preserve">point models) find an optimal placement for both legislators and</w:t>
      </w:r>
      <w:r>
        <w:t xml:space="preserve"> </w:t>
      </w:r>
      <w:r>
        <w:t xml:space="preserve">divisions in geometric space, usually in one or two dimensions. The</w:t>
      </w:r>
      <w:r>
        <w:t xml:space="preserve"> </w:t>
      </w:r>
      <w:r>
        <w:t xml:space="preserve">algorithm updates until all voting</w:t>
      </w:r>
      <w:r>
        <w:t xml:space="preserve"> </w:t>
      </w:r>
      <w:r>
        <w:t xml:space="preserve">‘errors’</w:t>
      </w:r>
      <w:r>
        <w:t xml:space="preserve"> </w:t>
      </w:r>
      <w:r>
        <w:t xml:space="preserve">are minimised; that is, the</w:t>
      </w:r>
      <w:r>
        <w:t xml:space="preserve"> </w:t>
      </w:r>
      <w:r>
        <w:t xml:space="preserve">algorithm will try as far as possible to place division lines between</w:t>
      </w:r>
      <w:r>
        <w:t xml:space="preserve"> </w:t>
      </w:r>
      <w:r>
        <w:t xml:space="preserve">MPs so that the division separates people who voted</w:t>
      </w:r>
      <w:r>
        <w:t xml:space="preserve"> </w:t>
      </w:r>
      <w:r>
        <w:t xml:space="preserve">‘aye’</w:t>
      </w:r>
      <w:r>
        <w:t xml:space="preserve"> </w:t>
      </w:r>
      <w:r>
        <w:t xml:space="preserve">from people</w:t>
      </w:r>
      <w:r>
        <w:t xml:space="preserve"> </w:t>
      </w:r>
      <w:r>
        <w:t xml:space="preserve">who voted</w:t>
      </w:r>
      <w:r>
        <w:t xml:space="preserve"> </w:t>
      </w:r>
      <w:r>
        <w:t xml:space="preserve">‘no’</w:t>
      </w:r>
      <w:r>
        <w:t xml:space="preserve">.</w:t>
      </w:r>
    </w:p>
    <w:p>
      <w:pPr>
        <w:pStyle w:val="BodyText"/>
      </w:pPr>
      <w:r>
        <w:t xml:space="preserve">The Australian House of Representatives’</w:t>
      </w:r>
      <w:r>
        <w:t xml:space="preserve"> </w:t>
      </w:r>
      <w:hyperlink r:id="rId30">
        <w:r>
          <w:rPr>
            <w:rStyle w:val="Hyperlink"/>
          </w:rPr>
          <w:t xml:space="preserve">standing order</w:t>
        </w:r>
        <w:r>
          <w:rPr>
            <w:rStyle w:val="Hyperlink"/>
          </w:rPr>
          <w:t xml:space="preserve"> </w:t>
        </w:r>
        <w:r>
          <w:rPr>
            <w:rStyle w:val="Hyperlink"/>
          </w:rPr>
          <w:t xml:space="preserve">127</w:t>
        </w:r>
      </w:hyperlink>
      <w:r>
        <w:t xml:space="preserve"> </w:t>
      </w:r>
      <w:r>
        <w:t xml:space="preserve">makes the current parliament interesting to analyse (and therefore,</w:t>
      </w:r>
      <w:r>
        <w:t xml:space="preserve"> </w:t>
      </w:r>
      <w:r>
        <w:t xml:space="preserve">previous parliaments less interesting): according to House standing</w:t>
      </w:r>
      <w:r>
        <w:t xml:space="preserve"> </w:t>
      </w:r>
      <w:r>
        <w:t xml:space="preserve">orders, full counts of divisions are not made when only four or fewer</w:t>
      </w:r>
      <w:r>
        <w:t xml:space="preserve"> </w:t>
      </w:r>
      <w:r>
        <w:t xml:space="preserve">MPs sit on one side of the Speaker. This long-standing rule is applied</w:t>
      </w:r>
      <w:r>
        <w:t xml:space="preserve"> </w:t>
      </w:r>
      <w:r>
        <w:t xml:space="preserve">as a means to prevent delay tactics by the cross-bench, which numbered</w:t>
      </w:r>
      <w:r>
        <w:t xml:space="preserve"> </w:t>
      </w:r>
      <w:r>
        <w:t xml:space="preserve">six or fewer in every parliament before 2022. In the present parliament,</w:t>
      </w:r>
      <w:r>
        <w:t xml:space="preserve"> </w:t>
      </w:r>
      <w:r>
        <w:t xml:space="preserve">there are more opportunities for the cross-bench to force divisions and</w:t>
      </w:r>
      <w:r>
        <w:t xml:space="preserve"> </w:t>
      </w:r>
      <w:r>
        <w:t xml:space="preserve">move parliamentary voting away from a two-way fight between government</w:t>
      </w:r>
      <w:r>
        <w:t xml:space="preserve"> </w:t>
      </w:r>
      <w:r>
        <w:t xml:space="preserve">and opposition. We see this new dynamic reflected in the results below.</w:t>
      </w:r>
    </w:p>
    <w:p>
      <w:pPr>
        <w:pStyle w:val="BodyText"/>
      </w:pPr>
      <w:hyperlink w:anchor="tbl-OC">
        <w:r>
          <w:rPr>
            <w:rStyle w:val="Hyperlink"/>
          </w:rPr>
          <w:t xml:space="preserve">Table 2</w:t>
        </w:r>
      </w:hyperlink>
      <w:r>
        <w:t xml:space="preserve"> </w:t>
      </w:r>
      <w:r>
        <w:t xml:space="preserve">gives a summary of two OC models, comparing a one-dimensional</w:t>
      </w:r>
      <w:r>
        <w:t xml:space="preserve"> </w:t>
      </w:r>
      <w:r>
        <w:t xml:space="preserve">solution with the two dimensional solution. As with similar</w:t>
      </w:r>
      <w:r>
        <w:t xml:space="preserve"> </w:t>
      </w:r>
      <w:r>
        <w:t xml:space="preserve">parliamentary legislatures, OC models fit voting behaviour in the House</w:t>
      </w:r>
      <w:r>
        <w:t xml:space="preserve"> </w:t>
      </w:r>
      <w:r>
        <w:t xml:space="preserve">of Representatives with a high degree of accuracy (97.7% correct with</w:t>
      </w:r>
      <w:r>
        <w:t xml:space="preserve"> </w:t>
      </w:r>
      <w:r>
        <w:t xml:space="preserve">one dimension, 99.7% correct with two dimensions). This phenomenon has</w:t>
      </w:r>
      <w:r>
        <w:t xml:space="preserve"> </w:t>
      </w:r>
      <w:r>
        <w:t xml:space="preserve">been termed near</w:t>
      </w:r>
      <w:r>
        <w:t xml:space="preserve"> </w:t>
      </w:r>
      <w:r>
        <w:t xml:space="preserve">‘perfect spatial voting’</w:t>
      </w:r>
      <w:r>
        <w:t xml:space="preserve"> </w:t>
      </w:r>
      <w:r>
        <w:t xml:space="preserve">(Rosenthal and Voeten 2004)</w:t>
      </w:r>
      <w:r>
        <w:t xml:space="preserve"> </w:t>
      </w:r>
      <w:r>
        <w:t xml:space="preserve">in that there</w:t>
      </w:r>
      <w:r>
        <w:t xml:space="preserve"> </w:t>
      </w:r>
      <w:r>
        <w:t xml:space="preserve">is rarely any uncertainty in how particular legislators will vote on a</w:t>
      </w:r>
      <w:r>
        <w:t xml:space="preserve"> </w:t>
      </w:r>
      <w:r>
        <w:t xml:space="preserve">given topic, which is a consequence of high party discipline.</w:t>
      </w:r>
    </w:p>
    <w:tbl>
      <w:tblPr>
        <w:tblStyle w:val="Table"/>
        <w:tblW w:type="pct" w:w="5000"/>
        <w:tblLayout w:type="fixed"/>
        <w:tblLook w:firstRow="0" w:lastRow="0" w:firstColumn="0" w:lastColumn="0" w:noHBand="0" w:noVBand="0" w:val="0000"/>
      </w:tblPr>
      <w:tblGrid>
        <w:gridCol w:w="7920"/>
      </w:tblGrid>
      <w:tr>
        <w:tc>
          <w:tcPr/>
          <w:bookmarkStart w:id="31" w:name="tbl-OC"/>
          <w:p>
            <w:pPr>
              <w:jc w:val="center"/>
            </w:pPr>
            <w:pPr>
              <w:jc w:val="start"/>
              <w:spacing w:before="200"/>
              <w:pStyle w:val="ImageCaption"/>
            </w:pPr>
            <w:r>
              <w:t xml:space="preserve">Table 2: Optimal Classification (OC) model fit summaries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4320"/>
              <w:gridCol w:w="4320"/>
              <w:gridCol w:w="432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 Dimension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 Dimensions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Number of MPs: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156 (0 MPs deleted)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156 (0 MPs deleted)</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Number of Votes: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551 (3 votes deleted)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551 (3 votes deleted)</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Predicted Ayes: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33340 of 33872 (98.4%) predictions correct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33786 of 33872 (99.7%) predictions correct</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Predicted Noes: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28054 of 28861 (97.2%) predictions correct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28710 of 28861 (99.5%) predictions correct</w:t>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Total Proportion Correct: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0.996</w:t>
                  </w:r>
                </w:p>
              </w:tc>
            </w:tr>
            <w:tr>
              <w:trPr>
                <w:trHeight w:val="36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Average Proportion Reduction in Error: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0.938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0.989</w:t>
                  </w:r>
                </w:p>
              </w:tc>
            </w:tr>
          </w:tbl>
          <w:bookmarkEnd w:id="31"/>
        </w:tc>
      </w:tr>
    </w:tbl>
    <w:p>
      <w:pPr>
        <w:pStyle w:val="BodyText"/>
      </w:pPr>
      <w:r>
        <w:t xml:space="preserve">In social science terms, a one dimensional model fits the data well,</w:t>
      </w:r>
      <w:r>
        <w:t xml:space="preserve"> </w:t>
      </w:r>
      <w:r>
        <w:t xml:space="preserve">however, a two dimensional model reduces error even further.</w:t>
      </w:r>
      <w:r>
        <w:t xml:space="preserve"> </w:t>
      </w:r>
      <w:r>
        <w:t xml:space="preserve">Proportional reduction of error is a fit statistic which calculates the</w:t>
      </w:r>
      <w:r>
        <w:t xml:space="preserve"> </w:t>
      </w:r>
      <w:r>
        <w:t xml:space="preserve">improvement the model makes over a</w:t>
      </w:r>
      <w:r>
        <w:t xml:space="preserve"> </w:t>
      </w:r>
      <w:r>
        <w:t xml:space="preserve">‘null-model’</w:t>
      </w:r>
      <w:r>
        <w:t xml:space="preserve">, in which everyone is</w:t>
      </w:r>
      <w:r>
        <w:t xml:space="preserve"> </w:t>
      </w:r>
      <w:r>
        <w:t xml:space="preserve">predicted to vote with the majority, and is the ratio of the difference</w:t>
      </w:r>
      <w:r>
        <w:t xml:space="preserve"> </w:t>
      </w:r>
      <w:r>
        <w:t xml:space="preserve">between the number of votes in the minority and the number of</w:t>
      </w:r>
      <w:r>
        <w:t xml:space="preserve"> </w:t>
      </w:r>
      <w:r>
        <w:t xml:space="preserve">classification errors, over the total number of votes in the minority.</w:t>
      </w:r>
      <w:r>
        <w:t xml:space="preserve"> </w:t>
      </w:r>
      <w:r>
        <w:t xml:space="preserve">The average proportional reduction in error (APRE) is simply the</w:t>
      </w:r>
      <w:r>
        <w:t xml:space="preserve"> </w:t>
      </w:r>
      <w:r>
        <w:t xml:space="preserve">aggregated mean of PRE statistics over all divisions. The APRE improves</w:t>
      </w:r>
      <w:r>
        <w:t xml:space="preserve"> </w:t>
      </w:r>
      <w:r>
        <w:t xml:space="preserve">markedly from 0.93 to 0.99 in two dimensions, suggesting that while the</w:t>
      </w:r>
      <w:r>
        <w:t xml:space="preserve"> </w:t>
      </w:r>
      <w:r>
        <w:t xml:space="preserve">first dimension is by far the dominant predictor, including a second</w:t>
      </w:r>
      <w:r>
        <w:t xml:space="preserve"> </w:t>
      </w:r>
      <w:r>
        <w:t xml:space="preserve">dimension produces the better model fit.</w:t>
      </w:r>
    </w:p>
    <w:tbl>
      <w:tblPr>
        <w:tblStyle w:val="Table"/>
        <w:tblW w:type="pct" w:w="5000"/>
        <w:tblLayout w:type="fixed"/>
        <w:tblLook w:firstRow="0" w:lastRow="0" w:firstColumn="0" w:lastColumn="0" w:noHBand="0" w:noVBand="0" w:val="0000"/>
      </w:tblPr>
      <w:tblGrid>
        <w:gridCol w:w="7920"/>
      </w:tblGrid>
      <w:tr>
        <w:tc>
          <w:tcPr/>
          <w:bookmarkStart w:id="35" w:name="fig-cutline"/>
          <w:p>
            <w:pPr>
              <w:pStyle w:val="Compact"/>
              <w:jc w:val="center"/>
            </w:pPr>
            <w:r>
              <w:drawing>
                <wp:inline>
                  <wp:extent cx="5384800" cy="4487333"/>
                  <wp:effectExtent b="0" l="0" r="0" t="0"/>
                  <wp:docPr descr="" title="" id="33" name="Picture"/>
                  <a:graphic>
                    <a:graphicData uri="http://schemas.openxmlformats.org/drawingml/2006/picture">
                      <pic:pic>
                        <pic:nvPicPr>
                          <pic:cNvPr descr="paper_files/figure-docx/fig-cutline-1.png" id="34" name="Picture"/>
                          <pic:cNvPicPr>
                            <a:picLocks noChangeArrowheads="1" noChangeAspect="1"/>
                          </pic:cNvPicPr>
                        </pic:nvPicPr>
                        <pic:blipFill>
                          <a:blip r:embed="rId32"/>
                          <a:stretch>
                            <a:fillRect/>
                          </a:stretch>
                        </pic:blipFill>
                        <pic:spPr bwMode="auto">
                          <a:xfrm>
                            <a:off x="0" y="0"/>
                            <a:ext cx="5384800" cy="448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Divisions and MPs in House of Representatives (47th Parliament) in two dimensions</w:t>
            </w:r>
          </w:p>
          <w:bookmarkEnd w:id="35"/>
        </w:tc>
      </w:tr>
    </w:tbl>
    <w:p>
      <w:pPr>
        <w:pStyle w:val="BodyText"/>
      </w:pPr>
      <w:r>
        <w:t xml:space="preserve">Now to interpret the model results.</w:t>
      </w:r>
      <w:r>
        <w:rPr>
          <w:rStyle w:val="FootnoteReference"/>
        </w:rPr>
        <w:footnoteReference w:id="36"/>
      </w:r>
      <w:r>
        <w:t xml:space="preserve"> </w:t>
      </w:r>
      <w:hyperlink w:anchor="fig-cutline">
        <w:r>
          <w:rPr>
            <w:rStyle w:val="Hyperlink"/>
          </w:rPr>
          <w:t xml:space="preserve">Figure 1</w:t>
        </w:r>
      </w:hyperlink>
      <w:r>
        <w:t xml:space="preserve"> </w:t>
      </w:r>
      <w:r>
        <w:t xml:space="preserve">shows the estimated</w:t>
      </w:r>
      <w:r>
        <w:t xml:space="preserve"> </w:t>
      </w:r>
      <w:r>
        <w:t xml:space="preserve">positions of MPs and the dividing lines for each vote. This plot is</w:t>
      </w:r>
      <w:r>
        <w:t xml:space="preserve"> </w:t>
      </w:r>
      <w:r>
        <w:t xml:space="preserve">available to examine interactively, using the mouse to hover over and</w:t>
      </w:r>
      <w:r>
        <w:t xml:space="preserve"> </w:t>
      </w:r>
      <w:r>
        <w:t xml:space="preserve">provide contextual information. Using the hover tool, it is easy to see</w:t>
      </w:r>
      <w:r>
        <w:t xml:space="preserve"> </w:t>
      </w:r>
      <w:r>
        <w:t xml:space="preserve">(by hovering the mouse over the edge of the perimeter circle) who</w:t>
      </w:r>
      <w:r>
        <w:t xml:space="preserve"> </w:t>
      </w:r>
      <w:r>
        <w:t xml:space="preserve">introduces each division, their party, the turnout, and the topic. It is</w:t>
      </w:r>
      <w:r>
        <w:t xml:space="preserve"> </w:t>
      </w:r>
      <w:r>
        <w:t xml:space="preserve">also possible to see the positions of individual MPs. To aid the reader,</w:t>
      </w:r>
      <w:r>
        <w:t xml:space="preserve"> </w:t>
      </w:r>
      <w:r>
        <w:t xml:space="preserve">I have traced the</w:t>
      </w:r>
      <w:r>
        <w:t xml:space="preserve"> </w:t>
      </w:r>
      <w:r>
        <w:t xml:space="preserve">‘convex hulls’</w:t>
      </w:r>
      <w:r>
        <w:t xml:space="preserve"> </w:t>
      </w:r>
      <w:r>
        <w:t xml:space="preserve">of party groupings to show their</w:t>
      </w:r>
      <w:r>
        <w:t xml:space="preserve"> </w:t>
      </w:r>
      <w:r>
        <w:t xml:space="preserve">spatial limits: red for the ALP, blue for the Coalition, green for the</w:t>
      </w:r>
      <w:r>
        <w:t xml:space="preserve"> </w:t>
      </w:r>
      <w:r>
        <w:t xml:space="preserve">Greens, teal with solid line for the teals, and teal with dashed lines</w:t>
      </w:r>
      <w:r>
        <w:t xml:space="preserve"> </w:t>
      </w:r>
      <w:r>
        <w:t xml:space="preserve">for the teals-plus.</w:t>
      </w:r>
    </w:p>
    <w:p>
      <w:pPr>
        <w:pStyle w:val="BodyText"/>
      </w:pPr>
      <w:r>
        <w:t xml:space="preserve">The first dimension represents a government-opposition dynamic. Both</w:t>
      </w:r>
      <w:r>
        <w:t xml:space="preserve"> </w:t>
      </w:r>
      <w:r>
        <w:t xml:space="preserve">Labor and the Liberal-National Coalition sit at the extremes in</w:t>
      </w:r>
      <w:r>
        <w:t xml:space="preserve"> </w:t>
      </w:r>
      <w:r>
        <w:t xml:space="preserve">strategic opposition</w:t>
      </w:r>
      <w:r>
        <w:t xml:space="preserve"> </w:t>
      </w:r>
      <w:r>
        <w:t xml:space="preserve">(Dewan and Spirling 2011)</w:t>
      </w:r>
      <w:r>
        <w:t xml:space="preserve">. Tight government agenda control over</w:t>
      </w:r>
      <w:r>
        <w:t xml:space="preserve"> </w:t>
      </w:r>
      <w:r>
        <w:t xml:space="preserve">motions ensures that cross-bench MPs are aligned in between, as they</w:t>
      </w:r>
      <w:r>
        <w:t xml:space="preserve"> </w:t>
      </w:r>
      <w:r>
        <w:t xml:space="preserve">vote for or against the government. The second dimension accounts for a</w:t>
      </w:r>
      <w:r>
        <w:t xml:space="preserve"> </w:t>
      </w:r>
      <w:r>
        <w:t xml:space="preserve">cleavage between the majority of cross-bench MPs (with the notable</w:t>
      </w:r>
      <w:r>
        <w:t xml:space="preserve"> </w:t>
      </w:r>
      <w:r>
        <w:t xml:space="preserve">exception of Bob Katter) and the major parties, which I term</w:t>
      </w:r>
      <w:r>
        <w:t xml:space="preserve"> </w:t>
      </w:r>
      <w:r>
        <w:t xml:space="preserve">‘alternative policy’</w:t>
      </w:r>
      <w:r>
        <w:t xml:space="preserve">.</w:t>
      </w:r>
    </w:p>
    <w:p>
      <w:pPr>
        <w:pStyle w:val="BodyText"/>
      </w:pPr>
      <w:r>
        <w:t xml:space="preserve">A look at who introduces divisions which separate on the alternative</w:t>
      </w:r>
      <w:r>
        <w:t xml:space="preserve"> </w:t>
      </w:r>
      <w:r>
        <w:t xml:space="preserve">dimension (horizontal lines) reveals that they are disproportionately</w:t>
      </w:r>
      <w:r>
        <w:t xml:space="preserve"> </w:t>
      </w:r>
      <w:r>
        <w:t xml:space="preserve">introduced by cross-bench MPs. Further, divisions which discriminate on</w:t>
      </w:r>
      <w:r>
        <w:t xml:space="preserve"> </w:t>
      </w:r>
      <w:r>
        <w:t xml:space="preserve">this dimension are also strongly associated with low turnout. This is</w:t>
      </w:r>
      <w:r>
        <w:t xml:space="preserve"> </w:t>
      </w:r>
      <w:r>
        <w:t xml:space="preserve">likely because major parties do not need to whip many MPs to vote on</w:t>
      </w:r>
      <w:r>
        <w:t xml:space="preserve"> </w:t>
      </w:r>
      <w:r>
        <w:t xml:space="preserve">motions which do not split the major parties.</w:t>
      </w:r>
      <w:r>
        <w:t xml:space="preserve"> </w:t>
      </w:r>
      <w:hyperlink w:anchor="fig-turnout">
        <w:r>
          <w:rPr>
            <w:rStyle w:val="Hyperlink"/>
          </w:rPr>
          <w:t xml:space="preserve">Figure 2</w:t>
        </w:r>
      </w:hyperlink>
      <w:r>
        <w:t xml:space="preserve"> </w:t>
      </w:r>
      <w:r>
        <w:t xml:space="preserve">shows the</w:t>
      </w:r>
      <w:r>
        <w:t xml:space="preserve"> </w:t>
      </w:r>
      <w:r>
        <w:t xml:space="preserve">relationship between the angle of the cutting line (where horizontal</w:t>
      </w:r>
      <w:r>
        <w:t xml:space="preserve"> </w:t>
      </w:r>
      <w:r>
        <w:t xml:space="preserve">lines equal 0 and vertical lines equal 90) and turnout on divisions. The</w:t>
      </w:r>
      <w:r>
        <w:t xml:space="preserve"> </w:t>
      </w:r>
      <w:r>
        <w:t xml:space="preserve">lower the cutting angle of a division, the more associated with the</w:t>
      </w:r>
      <w:r>
        <w:t xml:space="preserve"> </w:t>
      </w:r>
      <w:r>
        <w:t xml:space="preserve">alternative policy dimension it becomes. The scatter plot describes a</w:t>
      </w:r>
      <w:r>
        <w:t xml:space="preserve"> </w:t>
      </w:r>
      <w:r>
        <w:t xml:space="preserve">correlation coefficient between turnout and cutting angle of 0.77, which</w:t>
      </w:r>
      <w:r>
        <w:t xml:space="preserve"> </w:t>
      </w:r>
      <w:r>
        <w:t xml:space="preserve">suggests that motions proposed by cross-benchers do not require full</w:t>
      </w:r>
      <w:r>
        <w:t xml:space="preserve"> </w:t>
      </w:r>
      <w:r>
        <w:t xml:space="preserve">participation of government or opposition to block.</w:t>
      </w:r>
    </w:p>
    <w:tbl>
      <w:tblPr>
        <w:tblStyle w:val="Table"/>
        <w:tblW w:type="pct" w:w="5000"/>
        <w:tblLayout w:type="fixed"/>
        <w:tblLook w:firstRow="0" w:lastRow="0" w:firstColumn="0" w:lastColumn="0" w:noHBand="0" w:noVBand="0" w:val="0000"/>
      </w:tblPr>
      <w:tblGrid>
        <w:gridCol w:w="7920"/>
      </w:tblGrid>
      <w:tr>
        <w:tc>
          <w:tcPr/>
          <w:bookmarkStart w:id="40" w:name="fig-turnout"/>
          <w:p>
            <w:pPr>
              <w:pStyle w:val="Compact"/>
              <w:jc w:val="center"/>
            </w:pPr>
            <w:r>
              <w:drawing>
                <wp:inline>
                  <wp:extent cx="5384800" cy="4487333"/>
                  <wp:effectExtent b="0" l="0" r="0" t="0"/>
                  <wp:docPr descr="" title="" id="38" name="Picture"/>
                  <a:graphic>
                    <a:graphicData uri="http://schemas.openxmlformats.org/drawingml/2006/picture">
                      <pic:pic>
                        <pic:nvPicPr>
                          <pic:cNvPr descr="paper_files/figure-docx/fig-turnout-1.png" id="39" name="Picture"/>
                          <pic:cNvPicPr>
                            <a:picLocks noChangeArrowheads="1" noChangeAspect="1"/>
                          </pic:cNvPicPr>
                        </pic:nvPicPr>
                        <pic:blipFill>
                          <a:blip r:embed="rId37"/>
                          <a:stretch>
                            <a:fillRect/>
                          </a:stretch>
                        </pic:blipFill>
                        <pic:spPr bwMode="auto">
                          <a:xfrm>
                            <a:off x="0" y="0"/>
                            <a:ext cx="5384800" cy="4487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cutting angle and turnout</w:t>
            </w:r>
          </w:p>
          <w:bookmarkEnd w:id="40"/>
        </w:tc>
      </w:tr>
    </w:tbl>
    <w:p>
      <w:pPr>
        <w:pStyle w:val="BodyText"/>
      </w:pPr>
      <w:r>
        <w:t xml:space="preserve">Finally, a qualitative glance at the topics of divisions in this</w:t>
      </w:r>
      <w:r>
        <w:t xml:space="preserve"> </w:t>
      </w:r>
      <w:r>
        <w:t xml:space="preserve">dimension suggests that alternative policy positions, often on climate</w:t>
      </w:r>
      <w:r>
        <w:t xml:space="preserve"> </w:t>
      </w:r>
      <w:r>
        <w:t xml:space="preserve">change are being debated and voted on more frequently with the current</w:t>
      </w:r>
      <w:r>
        <w:t xml:space="preserve"> </w:t>
      </w:r>
      <w:r>
        <w:t xml:space="preserve">cross-bench. Some examples are:</w:t>
      </w:r>
    </w:p>
    <w:p>
      <w:pPr>
        <w:numPr>
          <w:ilvl w:val="0"/>
          <w:numId w:val="1001"/>
        </w:numPr>
      </w:pPr>
      <w:hyperlink r:id="rId41">
        <w:r>
          <w:rPr>
            <w:rStyle w:val="Hyperlink"/>
          </w:rPr>
          <w:t xml:space="preserve">Net Zero Economy Authority Bill</w:t>
        </w:r>
        <w:r>
          <w:rPr>
            <w:rStyle w:val="Hyperlink"/>
          </w:rPr>
          <w:t xml:space="preserve"> </w:t>
        </w:r>
        <w:r>
          <w:rPr>
            <w:rStyle w:val="Hyperlink"/>
          </w:rPr>
          <w:t xml:space="preserve">2024</w:t>
        </w:r>
      </w:hyperlink>
    </w:p>
    <w:p>
      <w:pPr>
        <w:numPr>
          <w:ilvl w:val="0"/>
          <w:numId w:val="1001"/>
        </w:numPr>
      </w:pPr>
      <w:hyperlink r:id="rId42">
        <w:r>
          <w:rPr>
            <w:rStyle w:val="Hyperlink"/>
          </w:rPr>
          <w:t xml:space="preserve">Environment Protection (Sea Dumping) Amendment (Using New</w:t>
        </w:r>
        <w:r>
          <w:rPr>
            <w:rStyle w:val="Hyperlink"/>
          </w:rPr>
          <w:t xml:space="preserve"> </w:t>
        </w:r>
        <w:r>
          <w:rPr>
            <w:rStyle w:val="Hyperlink"/>
          </w:rPr>
          <w:t xml:space="preserve">Technologies to Fight Climate Change) Bill</w:t>
        </w:r>
        <w:r>
          <w:rPr>
            <w:rStyle w:val="Hyperlink"/>
          </w:rPr>
          <w:t xml:space="preserve"> </w:t>
        </w:r>
        <w:r>
          <w:rPr>
            <w:rStyle w:val="Hyperlink"/>
          </w:rPr>
          <w:t xml:space="preserve">2023</w:t>
        </w:r>
      </w:hyperlink>
    </w:p>
    <w:p>
      <w:pPr>
        <w:numPr>
          <w:ilvl w:val="0"/>
          <w:numId w:val="1001"/>
        </w:numPr>
      </w:pPr>
      <w:hyperlink r:id="rId43">
        <w:r>
          <w:rPr>
            <w:rStyle w:val="Hyperlink"/>
          </w:rPr>
          <w:t xml:space="preserve">Anti-Discrimination and Human Rights Legislation Amendment (Respect</w:t>
        </w:r>
        <w:r>
          <w:rPr>
            <w:rStyle w:val="Hyperlink"/>
          </w:rPr>
          <w:t xml:space="preserve"> </w:t>
        </w:r>
        <w:r>
          <w:rPr>
            <w:rStyle w:val="Hyperlink"/>
          </w:rPr>
          <w:t xml:space="preserve">at Work) Bill</w:t>
        </w:r>
        <w:r>
          <w:rPr>
            <w:rStyle w:val="Hyperlink"/>
          </w:rPr>
          <w:t xml:space="preserve"> </w:t>
        </w:r>
        <w:r>
          <w:rPr>
            <w:rStyle w:val="Hyperlink"/>
          </w:rPr>
          <w:t xml:space="preserve">2022</w:t>
        </w:r>
      </w:hyperlink>
    </w:p>
    <w:p>
      <w:pPr>
        <w:numPr>
          <w:ilvl w:val="0"/>
          <w:numId w:val="1001"/>
        </w:numPr>
      </w:pPr>
      <w:hyperlink r:id="rId44">
        <w:r>
          <w:rPr>
            <w:rStyle w:val="Hyperlink"/>
          </w:rPr>
          <w:t xml:space="preserve">National Anti-Corruption Commission Bill</w:t>
        </w:r>
        <w:r>
          <w:rPr>
            <w:rStyle w:val="Hyperlink"/>
          </w:rPr>
          <w:t xml:space="preserve"> </w:t>
        </w:r>
        <w:r>
          <w:rPr>
            <w:rStyle w:val="Hyperlink"/>
          </w:rPr>
          <w:t xml:space="preserve">2022</w:t>
        </w:r>
      </w:hyperlink>
    </w:p>
    <w:bookmarkEnd w:id="45"/>
    <w:bookmarkStart w:id="51" w:name="in-what-sense-are-the-teals-a-party"/>
    <w:p>
      <w:pPr>
        <w:pStyle w:val="Heading3"/>
      </w:pPr>
      <w:r>
        <w:t xml:space="preserve">0.4 In what sense are the teals a party?</w:t>
      </w:r>
    </w:p>
    <w:p>
      <w:pPr>
        <w:pStyle w:val="CaptionedFigure"/>
      </w:pPr>
      <w:r>
        <w:drawing>
          <wp:inline>
            <wp:extent cx="2857500" cy="1853513"/>
            <wp:effectExtent b="0" l="0" r="0" t="0"/>
            <wp:docPr descr="Adapted from Krehbiel, K. (2000). Party Discipline and Measures of Partisanship. American Journal of Political Science, 44(2), 212–227. https://doi.org/10.2307/2669306" title="" id="47" name="Picture"/>
            <a:graphic>
              <a:graphicData uri="http://schemas.openxmlformats.org/drawingml/2006/picture">
                <pic:pic>
                  <pic:nvPicPr>
                    <pic:cNvPr descr="images/clipboard-2496897020.png" id="48" name="Picture"/>
                    <pic:cNvPicPr>
                      <a:picLocks noChangeArrowheads="1" noChangeAspect="1"/>
                    </pic:cNvPicPr>
                  </pic:nvPicPr>
                  <pic:blipFill>
                    <a:blip r:embed="rId46"/>
                    <a:stretch>
                      <a:fillRect/>
                    </a:stretch>
                  </pic:blipFill>
                  <pic:spPr bwMode="auto">
                    <a:xfrm>
                      <a:off x="0" y="0"/>
                      <a:ext cx="2857500" cy="1853513"/>
                    </a:xfrm>
                    <a:prstGeom prst="rect">
                      <a:avLst/>
                    </a:prstGeom>
                    <a:noFill/>
                    <a:ln w="9525">
                      <a:noFill/>
                      <a:headEnd/>
                      <a:tailEnd/>
                    </a:ln>
                  </pic:spPr>
                </pic:pic>
              </a:graphicData>
            </a:graphic>
          </wp:inline>
        </w:drawing>
      </w:r>
    </w:p>
    <w:p>
      <w:pPr>
        <w:pStyle w:val="ImageCaption"/>
      </w:pPr>
      <w:r>
        <w:t xml:space="preserve">Adapted from Krehbiel, K. (2000). Party Discipline and Measures of</w:t>
      </w:r>
      <w:r>
        <w:t xml:space="preserve"> </w:t>
      </w:r>
      <w:r>
        <w:t xml:space="preserve">Partisanship. American Journal of Political Science, 44(2), 212–227.</w:t>
      </w:r>
      <w:r>
        <w:t xml:space="preserve"> </w:t>
      </w:r>
      <w:hyperlink r:id="rId49">
        <w:r>
          <w:rPr>
            <w:rStyle w:val="Hyperlink"/>
          </w:rPr>
          <w:t xml:space="preserve">https://doi.org/10.2307/2669306</w:t>
        </w:r>
      </w:hyperlink>
    </w:p>
    <w:p>
      <w:pPr>
        <w:pStyle w:val="BodyText"/>
      </w:pPr>
      <w:r>
        <w:t xml:space="preserve">Nearly a quarter of a century ago, Keith</w:t>
      </w:r>
      <w:r>
        <w:t xml:space="preserve"> </w:t>
      </w:r>
      <w:r>
        <w:t xml:space="preserve">Krehbiel (2000)</w:t>
      </w:r>
      <w:r>
        <w:t xml:space="preserve"> </w:t>
      </w:r>
      <w:r>
        <w:t xml:space="preserve">encapsulated the</w:t>
      </w:r>
      <w:r>
        <w:t xml:space="preserve"> </w:t>
      </w:r>
      <w:r>
        <w:t xml:space="preserve">problem of measuring partisanship from votes: by the time we observe</w:t>
      </w:r>
      <w:r>
        <w:t xml:space="preserve"> </w:t>
      </w:r>
      <w:r>
        <w:t xml:space="preserve">voting behaviour, it is too late to separate the twin causes of</w:t>
      </w:r>
      <w:r>
        <w:t xml:space="preserve"> </w:t>
      </w:r>
      <w:r>
        <w:t xml:space="preserve">legislative voting (an MP’s partisan affiliation and their personal</w:t>
      </w:r>
      <w:r>
        <w:t xml:space="preserve"> </w:t>
      </w:r>
      <w:r>
        <w:t xml:space="preserve">preference). The teals certainly vote with the sort of cohesion that</w:t>
      </w:r>
      <w:r>
        <w:t xml:space="preserve"> </w:t>
      </w:r>
      <w:r>
        <w:t xml:space="preserve">qualifies for a party in many parliamentary democracies, but maybe not</w:t>
      </w:r>
      <w:r>
        <w:t xml:space="preserve"> </w:t>
      </w:r>
      <w:r>
        <w:t xml:space="preserve">to the iron discipline required of Australian parties. Perhaps if they</w:t>
      </w:r>
      <w:r>
        <w:t xml:space="preserve"> </w:t>
      </w:r>
      <w:r>
        <w:t xml:space="preserve">were a formal party, their vote attendance (now the highest of the</w:t>
      </w:r>
      <w:r>
        <w:t xml:space="preserve"> </w:t>
      </w:r>
      <w:r>
        <w:t xml:space="preserve">parliamentary groups) would go down to accommodate the occasional</w:t>
      </w:r>
      <w:r>
        <w:t xml:space="preserve"> </w:t>
      </w:r>
      <w:r>
        <w:t xml:space="preserve">strategic abstention. It’s also true that it makes</w:t>
      </w:r>
      <w:r>
        <w:t xml:space="preserve"> </w:t>
      </w:r>
      <w:r>
        <w:rPr>
          <w:i/>
          <w:iCs/>
        </w:rPr>
        <w:t xml:space="preserve">strategic</w:t>
      </w:r>
      <w:r>
        <w:t xml:space="preserve"> </w:t>
      </w:r>
      <w:r>
        <w:t xml:space="preserve">sense for</w:t>
      </w:r>
      <w:r>
        <w:t xml:space="preserve"> </w:t>
      </w:r>
      <w:r>
        <w:t xml:space="preserve">the teals to vote with some cohesion — with a minimum threshold to</w:t>
      </w:r>
      <w:r>
        <w:t xml:space="preserve"> </w:t>
      </w:r>
      <w:r>
        <w:t xml:space="preserve">recording divisions currently set at 4 members, teals will have to</w:t>
      </w:r>
      <w:r>
        <w:t xml:space="preserve"> </w:t>
      </w:r>
      <w:r>
        <w:t xml:space="preserve">coordinate to ensure they have their voices heard.</w:t>
      </w:r>
    </w:p>
    <w:p>
      <w:pPr>
        <w:pStyle w:val="BodyText"/>
      </w:pPr>
      <w:r>
        <w:t xml:space="preserve">If we can consider the teals a quasi-party based on voting record, then,</w:t>
      </w:r>
      <w:r>
        <w:t xml:space="preserve"> </w:t>
      </w:r>
      <w:r>
        <w:t xml:space="preserve">who exactly are they? Referring back to the spatial analysis, it makes</w:t>
      </w:r>
      <w:r>
        <w:t xml:space="preserve"> </w:t>
      </w:r>
      <w:r>
        <w:t xml:space="preserve">sense to categorise the 2022 teals, alongside Helen Haines and Zali</w:t>
      </w:r>
      <w:r>
        <w:t xml:space="preserve"> </w:t>
      </w:r>
      <w:r>
        <w:t xml:space="preserve">Steggall as a core grouping. Other established independents Andrew</w:t>
      </w:r>
      <w:r>
        <w:t xml:space="preserve"> </w:t>
      </w:r>
      <w:r>
        <w:t xml:space="preserve">Wilkie (formerly Green) and Rebekha Sharkie who also took Climate 200</w:t>
      </w:r>
      <w:r>
        <w:t xml:space="preserve"> </w:t>
      </w:r>
      <w:r>
        <w:t xml:space="preserve">money for re-election diverge significantly from the others, and should</w:t>
      </w:r>
      <w:r>
        <w:t xml:space="preserve"> </w:t>
      </w:r>
      <w:r>
        <w:t xml:space="preserve">be considered functionally independent. Of course, it does not (yet)</w:t>
      </w:r>
      <w:r>
        <w:t xml:space="preserve"> </w:t>
      </w:r>
      <w:r>
        <w:t xml:space="preserve">make any sense to call a particular MP a</w:t>
      </w:r>
      <w:r>
        <w:t xml:space="preserve"> </w:t>
      </w:r>
      <w:r>
        <w:t xml:space="preserve">‘true’</w:t>
      </w:r>
      <w:r>
        <w:t xml:space="preserve"> </w:t>
      </w:r>
      <w:r>
        <w:t xml:space="preserve">teal or</w:t>
      </w:r>
      <w:r>
        <w:t xml:space="preserve"> </w:t>
      </w:r>
      <w:r>
        <w:t xml:space="preserve">teal-in-name-only (as Dutton might refer to Monique Ryan or Sophie</w:t>
      </w:r>
      <w:r>
        <w:t xml:space="preserve"> </w:t>
      </w:r>
      <w:r>
        <w:t xml:space="preserve">Scamps) based on voting record.</w:t>
      </w:r>
    </w:p>
    <w:tbl>
      <w:tblPr>
        <w:tblStyle w:val="Table"/>
        <w:tblW w:type="pct" w:w="5000"/>
        <w:tblLayout w:type="fixed"/>
        <w:tblLook w:firstRow="0" w:lastRow="0" w:firstColumn="0" w:lastColumn="0" w:noHBand="0" w:noVBand="0" w:val="0000"/>
      </w:tblPr>
      <w:tblGrid>
        <w:gridCol w:w="7920"/>
      </w:tblGrid>
      <w:tr>
        <w:tc>
          <w:tcPr/>
          <w:bookmarkStart w:id="50" w:name="fig-splits"/>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tblGrid>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Division Type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Teals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Teals+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Bills, other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44 (19.6%)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141 (62.7%)</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Bills, Fair Work Legislation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24 (10.7%)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39 (17.3%)</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Suspension of Standing Orders, other procedure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 (3.6%)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25 (11.1%)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Israel Gaza Conflict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 (0.9%)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 (0.9%)</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Motions, other</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 (0.9%)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18 (8%)</w:t>
                  </w:r>
                </w:p>
              </w:tc>
            </w:tr>
          </w:tbl>
          <w:p>
            <w:pPr>
              <w:jc w:val="center"/>
            </w:pPr>
            <w:pPr>
              <w:jc w:val="start"/>
              <w:spacing w:before="200"/>
              <w:pStyle w:val="ImageCaption"/>
            </w:pPr>
            <w:r>
              <w:t xml:space="preserve">Figure 3</w:t>
            </w:r>
          </w:p>
          <w:bookmarkEnd w:id="50"/>
        </w:tc>
      </w:tr>
    </w:tbl>
    <w:bookmarkEnd w:id="51"/>
    <w:bookmarkStart w:id="70" w:name="references"/>
    <w:p>
      <w:pPr>
        <w:pStyle w:val="Heading3"/>
      </w:pPr>
      <w:r>
        <w:t xml:space="preserve">0.5 References</w:t>
      </w:r>
    </w:p>
    <w:bookmarkStart w:id="69" w:name="refs"/>
    <w:bookmarkStart w:id="53" w:name="ref-armstrong2020"/>
    <w:p>
      <w:pPr>
        <w:pStyle w:val="Bibliography"/>
      </w:pPr>
      <w:r>
        <w:t xml:space="preserve">Armstrong, David A., Ryan Bakker, Royce Carroll, Christopher Hare, Keith T. Poole, and Howard Rosenthal. 2020.</w:t>
      </w:r>
      <w:r>
        <w:t xml:space="preserve"> </w:t>
      </w:r>
      <w:r>
        <w:rPr>
          <w:i/>
          <w:iCs/>
        </w:rPr>
        <w:t xml:space="preserve">Analyzing Spatial Models of Choice and Judgment</w:t>
      </w:r>
      <w:r>
        <w:t xml:space="preserve">. 2nd ed. New York: Chapman; Hall/CRC.</w:t>
      </w:r>
      <w:r>
        <w:t xml:space="preserve"> </w:t>
      </w:r>
      <w:hyperlink r:id="rId52">
        <w:r>
          <w:rPr>
            <w:rStyle w:val="Hyperlink"/>
          </w:rPr>
          <w:t xml:space="preserve">https://doi.org/10.1201/9781315197609</w:t>
        </w:r>
      </w:hyperlink>
      <w:r>
        <w:t xml:space="preserve">.</w:t>
      </w:r>
    </w:p>
    <w:bookmarkEnd w:id="53"/>
    <w:bookmarkStart w:id="54" w:name="ref-australianelectoralcommission2023"/>
    <w:p>
      <w:pPr>
        <w:pStyle w:val="Bibliography"/>
      </w:pPr>
      <w:r>
        <w:t xml:space="preserve">Australian Electoral Commission. 2023.</w:t>
      </w:r>
      <w:r>
        <w:t xml:space="preserve"> </w:t>
      </w:r>
      <w:r>
        <w:t xml:space="preserve">“Guide for Registering a Party.”</w:t>
      </w:r>
    </w:p>
    <w:bookmarkEnd w:id="54"/>
    <w:bookmarkStart w:id="56" w:name="ref-burton2024"/>
    <w:p>
      <w:pPr>
        <w:pStyle w:val="Bibliography"/>
      </w:pPr>
      <w:r>
        <w:t xml:space="preserve">Burton, Tom. 2024.</w:t>
      </w:r>
      <w:r>
        <w:t xml:space="preserve"> </w:t>
      </w:r>
      <w:r>
        <w:t xml:space="preserve">“Dutton Won</w:t>
      </w:r>
      <w:r>
        <w:t xml:space="preserve">’</w:t>
      </w:r>
      <w:r>
        <w:t xml:space="preserve">t Release 2030 Emission Targets till After Election.”</w:t>
      </w:r>
      <w:r>
        <w:t xml:space="preserve"> </w:t>
      </w:r>
      <w:hyperlink r:id="rId55">
        <w:r>
          <w:rPr>
            <w:rStyle w:val="Hyperlink"/>
          </w:rPr>
          <w:t xml:space="preserve">https://www.afr.com/politics/federal/more-bird-flu-infection-outbreaks-predicted-20240610-p5jkq7</w:t>
        </w:r>
      </w:hyperlink>
      <w:r>
        <w:t xml:space="preserve">.</w:t>
      </w:r>
    </w:p>
    <w:bookmarkEnd w:id="56"/>
    <w:bookmarkStart w:id="57" w:name="ref-dewan2011"/>
    <w:p>
      <w:pPr>
        <w:pStyle w:val="Bibliography"/>
      </w:pPr>
      <w:r>
        <w:t xml:space="preserve">Dewan, Torun, and Arthur Spirling. 2011.</w:t>
      </w:r>
      <w:r>
        <w:t xml:space="preserve"> </w:t>
      </w:r>
      <w:r>
        <w:t xml:space="preserve">“Strategic Opposition and Government Cohesion in Westminster Democracies.”</w:t>
      </w:r>
      <w:r>
        <w:t xml:space="preserve"> </w:t>
      </w:r>
      <w:r>
        <w:rPr>
          <w:i/>
          <w:iCs/>
        </w:rPr>
        <w:t xml:space="preserve">American Political Science Review</w:t>
      </w:r>
      <w:r>
        <w:t xml:space="preserve"> </w:t>
      </w:r>
      <w:r>
        <w:t xml:space="preserve">105 (2): 337358.</w:t>
      </w:r>
    </w:p>
    <w:bookmarkEnd w:id="57"/>
    <w:bookmarkStart w:id="58" w:name="ref-hendriks2023"/>
    <w:p>
      <w:pPr>
        <w:pStyle w:val="Bibliography"/>
      </w:pPr>
      <w:r>
        <w:t xml:space="preserve">Hendriks, Carolyn M, and Richard Reid. 2023.</w:t>
      </w:r>
      <w:r>
        <w:t xml:space="preserve"> </w:t>
      </w:r>
      <w:r>
        <w:t xml:space="preserve">“The Rise and Impact of Australia</w:t>
      </w:r>
      <w:r>
        <w:t xml:space="preserve">’</w:t>
      </w:r>
      <w:r>
        <w:t xml:space="preserve">s Movement for Community Independents.”</w:t>
      </w:r>
      <w:r>
        <w:t xml:space="preserve"> </w:t>
      </w:r>
      <w:r>
        <w:t xml:space="preserve">In, edited by Marian Sawer, Anika Gauja, and Jill Sheppard. ANU E Press.</w:t>
      </w:r>
    </w:p>
    <w:bookmarkEnd w:id="58"/>
    <w:bookmarkStart w:id="59" w:name="ref-hix2005"/>
    <w:p>
      <w:pPr>
        <w:pStyle w:val="Bibliography"/>
      </w:pPr>
      <w:r>
        <w:t xml:space="preserve">Hix, Simon, Abdul Noury, and Gérard Roland. 2005.</w:t>
      </w:r>
      <w:r>
        <w:t xml:space="preserve"> </w:t>
      </w:r>
      <w:r>
        <w:t xml:space="preserve">“Power to the Parties: Cohesion and Competition in the European Parliament, 1979</w:t>
      </w:r>
      <w:r>
        <w:t xml:space="preserve">2001.”</w:t>
      </w:r>
      <w:r>
        <w:t xml:space="preserve"> </w:t>
      </w:r>
      <w:r>
        <w:rPr>
          <w:i/>
          <w:iCs/>
        </w:rPr>
        <w:t xml:space="preserve">British Journal of Political Science</w:t>
      </w:r>
      <w:r>
        <w:t xml:space="preserve"> </w:t>
      </w:r>
      <w:r>
        <w:t xml:space="preserve">35 (02): 209234.</w:t>
      </w:r>
    </w:p>
    <w:bookmarkEnd w:id="59"/>
    <w:bookmarkStart w:id="60" w:name="ref-krehbiel2000"/>
    <w:p>
      <w:pPr>
        <w:pStyle w:val="Bibliography"/>
      </w:pPr>
      <w:r>
        <w:t xml:space="preserve">Krehbiel, Keith. 2000.</w:t>
      </w:r>
      <w:r>
        <w:t xml:space="preserve"> </w:t>
      </w:r>
      <w:r>
        <w:t xml:space="preserve">“Party Discipline and Measures of Partisanship.”</w:t>
      </w:r>
      <w:r>
        <w:t xml:space="preserve"> </w:t>
      </w:r>
      <w:r>
        <w:rPr>
          <w:i/>
          <w:iCs/>
        </w:rPr>
        <w:t xml:space="preserve">American Journal of Political Science</w:t>
      </w:r>
      <w:r>
        <w:t xml:space="preserve"> </w:t>
      </w:r>
      <w:r>
        <w:t xml:space="preserve">44 (2): 206221.</w:t>
      </w:r>
    </w:p>
    <w:bookmarkEnd w:id="60"/>
    <w:bookmarkStart w:id="62" w:name="ref-poole2000"/>
    <w:p>
      <w:pPr>
        <w:pStyle w:val="Bibliography"/>
      </w:pPr>
      <w:r>
        <w:t xml:space="preserve">Poole, Keith T. 2000.</w:t>
      </w:r>
      <w:r>
        <w:t xml:space="preserve"> </w:t>
      </w:r>
      <w:r>
        <w:t xml:space="preserve">“Nonparametric Unfolding of Binary Choice Data.”</w:t>
      </w:r>
      <w:r>
        <w:t xml:space="preserve"> </w:t>
      </w:r>
      <w:r>
        <w:rPr>
          <w:i/>
          <w:iCs/>
        </w:rPr>
        <w:t xml:space="preserve">Political Analysis</w:t>
      </w:r>
      <w:r>
        <w:t xml:space="preserve"> </w:t>
      </w:r>
      <w:r>
        <w:t xml:space="preserve">8 (3): 211–37.</w:t>
      </w:r>
      <w:r>
        <w:t xml:space="preserve"> </w:t>
      </w:r>
      <w:hyperlink r:id="rId61">
        <w:r>
          <w:rPr>
            <w:rStyle w:val="Hyperlink"/>
          </w:rPr>
          <w:t xml:space="preserve">https://doi.org/10.1093/oxfordjournals.pan.a029814</w:t>
        </w:r>
      </w:hyperlink>
      <w:r>
        <w:t xml:space="preserve">.</w:t>
      </w:r>
    </w:p>
    <w:bookmarkEnd w:id="62"/>
    <w:bookmarkStart w:id="63" w:name="ref-rice1925"/>
    <w:p>
      <w:pPr>
        <w:pStyle w:val="Bibliography"/>
      </w:pPr>
      <w:r>
        <w:t xml:space="preserve">Rice, Stuart A. 1925.</w:t>
      </w:r>
      <w:r>
        <w:t xml:space="preserve"> </w:t>
      </w:r>
      <w:r>
        <w:t xml:space="preserve">“The Behavior of Legislative Groups: A Method of Measurement.”</w:t>
      </w:r>
      <w:r>
        <w:t xml:space="preserve"> </w:t>
      </w:r>
      <w:r>
        <w:rPr>
          <w:i/>
          <w:iCs/>
        </w:rPr>
        <w:t xml:space="preserve">Political Science Quarterly</w:t>
      </w:r>
      <w:r>
        <w:t xml:space="preserve"> </w:t>
      </w:r>
      <w:r>
        <w:t xml:space="preserve">40 (1): 6072.</w:t>
      </w:r>
    </w:p>
    <w:bookmarkEnd w:id="63"/>
    <w:bookmarkStart w:id="65" w:name="ref-rosenthal2004"/>
    <w:p>
      <w:pPr>
        <w:pStyle w:val="Bibliography"/>
      </w:pPr>
      <w:r>
        <w:t xml:space="preserve">Rosenthal, Howard, and Erik Voeten. 2004.</w:t>
      </w:r>
      <w:r>
        <w:t xml:space="preserve"> </w:t>
      </w:r>
      <w:r>
        <w:t xml:space="preserve">“Analyzing Roll Calls with Perfect Spatial Voting: France 1946-1958.”</w:t>
      </w:r>
      <w:r>
        <w:t xml:space="preserve"> </w:t>
      </w:r>
      <w:r>
        <w:rPr>
          <w:i/>
          <w:iCs/>
        </w:rPr>
        <w:t xml:space="preserve">American Journal of Political Science</w:t>
      </w:r>
      <w:r>
        <w:t xml:space="preserve"> </w:t>
      </w:r>
      <w:r>
        <w:t xml:space="preserve">48 (3): 620–32.</w:t>
      </w:r>
      <w:r>
        <w:t xml:space="preserve"> </w:t>
      </w:r>
      <w:hyperlink r:id="rId64">
        <w:r>
          <w:rPr>
            <w:rStyle w:val="Hyperlink"/>
          </w:rPr>
          <w:t xml:space="preserve">https://doi.org/10.2307/1519920</w:t>
        </w:r>
      </w:hyperlink>
      <w:r>
        <w:t xml:space="preserve">.</w:t>
      </w:r>
    </w:p>
    <w:bookmarkEnd w:id="65"/>
    <w:bookmarkStart w:id="67" w:name="ref-slapin2018"/>
    <w:p>
      <w:pPr>
        <w:pStyle w:val="Bibliography"/>
      </w:pPr>
      <w:r>
        <w:t xml:space="preserve">Slapin, Jonathan B., Justin H. Kirkland, Joseph A. Lazzaro, Patrick A. Leslie, and Tom O’grady. 2018.</w:t>
      </w:r>
      <w:r>
        <w:t xml:space="preserve"> </w:t>
      </w:r>
      <w:r>
        <w:t xml:space="preserve">“Ideology, Grandstanding, and Strategic Party Disloyalty in the British Parliament.”</w:t>
      </w:r>
      <w:r>
        <w:t xml:space="preserve"> </w:t>
      </w:r>
      <w:r>
        <w:rPr>
          <w:i/>
          <w:iCs/>
        </w:rPr>
        <w:t xml:space="preserve">American Political Science Review</w:t>
      </w:r>
      <w:r>
        <w:t xml:space="preserve"> </w:t>
      </w:r>
      <w:r>
        <w:t xml:space="preserve">112 (1): 15–30.</w:t>
      </w:r>
      <w:r>
        <w:t xml:space="preserve"> </w:t>
      </w:r>
      <w:hyperlink r:id="rId66">
        <w:r>
          <w:rPr>
            <w:rStyle w:val="Hyperlink"/>
          </w:rPr>
          <w:t xml:space="preserve">https://doi.org/10.1017/S0003055417000375</w:t>
        </w:r>
      </w:hyperlink>
      <w:r>
        <w:t xml:space="preserve">.</w:t>
      </w:r>
    </w:p>
    <w:bookmarkEnd w:id="67"/>
    <w:bookmarkStart w:id="68" w:name="ref-spirling_uk_2007"/>
    <w:p>
      <w:pPr>
        <w:pStyle w:val="Bibliography"/>
      </w:pPr>
      <w:r>
        <w:t xml:space="preserve">Spirling, Arthur, and Iain McLean. 2007.</w:t>
      </w:r>
      <w:r>
        <w:t xml:space="preserve"> </w:t>
      </w:r>
      <w:r>
        <w:t xml:space="preserve">“UK OC OK? Interpreting Optimal Classification Scores for the UK House of Commons.”</w:t>
      </w:r>
      <w:r>
        <w:t xml:space="preserve"> </w:t>
      </w:r>
      <w:r>
        <w:rPr>
          <w:i/>
          <w:iCs/>
        </w:rPr>
        <w:t xml:space="preserve">Political Analysis</w:t>
      </w:r>
      <w:r>
        <w:t xml:space="preserve"> </w:t>
      </w:r>
      <w:r>
        <w:t xml:space="preserve">15 (1): 85–96.</w:t>
      </w:r>
    </w:p>
    <w:bookmarkEnd w:id="68"/>
    <w:bookmarkEnd w:id="69"/>
    <w:bookmarkEnd w:id="70"/>
    <w:sectPr w:rsidR="00FE4713" w:rsidSect="00074B81">
      <w:headerReference r:id="rId9" w:type="even"/>
      <w:headerReference r:id="rId11" w:type="default"/>
      <w:footerReference r:id="rId14" w:type="even"/>
      <w:footerReference r:id="rId13" w:type="default"/>
      <w:headerReference r:id="rId10" w:type="first"/>
      <w:footerReference r:id="rId12" w:type="first"/>
      <w:pgSz w:code="9" w:h="16840" w:w="11901"/>
      <w:pgMar w:bottom="1418" w:footer="709" w:gutter="0" w:header="709" w:left="1701" w:right="1701" w:top="1418"/>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C74CA9" w14:textId="77777777" w:rsidR="002211DD" w:rsidRDefault="002211D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B3C0DF" w14:textId="77777777" w:rsidR="002211DD" w:rsidRDefault="002211D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4C9939" w14:textId="77777777" w:rsidR="002211DD" w:rsidRDefault="002211D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The legal definition includes important criteria, but ultimately</w:t>
      </w:r>
      <w:r>
        <w:t xml:space="preserve"> </w:t>
      </w:r>
      <w:r>
        <w:t xml:space="preserve">allows any group with a constitution, $500 and 1500 members to</w:t>
      </w:r>
      <w:r>
        <w:t xml:space="preserve"> </w:t>
      </w:r>
      <w:r>
        <w:t xml:space="preserve">receive registration</w:t>
      </w:r>
      <w:r>
        <w:t xml:space="preserve"> </w:t>
      </w:r>
      <w:r>
        <w:t xml:space="preserve">(Australian Electoral Commission 2023)</w:t>
      </w:r>
      <w:r>
        <w:t xml:space="preserve">.</w:t>
      </w:r>
    </w:p>
  </w:footnote>
  <w:footnote w:id="36">
    <w:p>
      <w:pPr>
        <w:pStyle w:val="FootnoteText"/>
      </w:pPr>
      <w:r>
        <w:rPr>
          <w:rStyle w:val="FootnoteReference"/>
        </w:rPr>
        <w:footnoteRef/>
      </w:r>
      <w:r>
        <w:t xml:space="preserve"> </w:t>
      </w:r>
      <w:r>
        <w:t xml:space="preserve">For nerds: I need to address two common objections to the use of</w:t>
      </w:r>
      <w:r>
        <w:t xml:space="preserve"> </w:t>
      </w:r>
      <w:r>
        <w:t xml:space="preserve">ideal point models in parliamentary democracy. First, parametric</w:t>
      </w:r>
      <w:r>
        <w:t xml:space="preserve"> </w:t>
      </w:r>
      <w:r>
        <w:t xml:space="preserve">models assume independent and identical distribution (i.i.d.) of</w:t>
      </w:r>
      <w:r>
        <w:t xml:space="preserve"> </w:t>
      </w:r>
      <w:r>
        <w:t xml:space="preserve">error terms when estimating the ideal points of individuals. This</w:t>
      </w:r>
      <w:r>
        <w:t xml:space="preserve"> </w:t>
      </w:r>
      <w:r>
        <w:t xml:space="preserve">assumption is potentially problematic in all analysis of roll call</w:t>
      </w:r>
      <w:r>
        <w:t xml:space="preserve"> </w:t>
      </w:r>
      <w:r>
        <w:t xml:space="preserve">data, but it is particularly troublesome in settings where some</w:t>
      </w:r>
      <w:r>
        <w:t xml:space="preserve"> </w:t>
      </w:r>
      <w:r>
        <w:t xml:space="preserve">parliamentary groupings are known to be more disciplined than</w:t>
      </w:r>
      <w:r>
        <w:t xml:space="preserve"> </w:t>
      </w:r>
      <w:r>
        <w:t xml:space="preserve">others, as in the present case. The OC model is non-parametric, and</w:t>
      </w:r>
      <w:r>
        <w:t xml:space="preserve"> </w:t>
      </w:r>
      <w:r>
        <w:t xml:space="preserve">so relaxes assumptions about the form and consistency of the error</w:t>
      </w:r>
      <w:r>
        <w:t xml:space="preserve"> </w:t>
      </w:r>
      <w:r>
        <w:t xml:space="preserve">term, as argued in</w:t>
      </w:r>
      <w:r>
        <w:t xml:space="preserve"> </w:t>
      </w:r>
      <w:r>
        <w:t xml:space="preserve">Rosenthal and Voeten (2004)</w:t>
      </w:r>
      <w:r>
        <w:t xml:space="preserve"> </w:t>
      </w:r>
      <w:r>
        <w:t xml:space="preserve">and</w:t>
      </w:r>
      <w:r>
        <w:t xml:space="preserve"> </w:t>
      </w:r>
      <w:r>
        <w:t xml:space="preserve">Armstrong et al. (2020)</w:t>
      </w:r>
      <w:r>
        <w:t xml:space="preserve">.</w:t>
      </w:r>
    </w:p>
    <w:p>
      <w:pPr>
        <w:pStyle w:val="FootnoteText"/>
      </w:pPr>
      <w:r>
        <w:t xml:space="preserve">Second, interpretations of rollcall analysis in parliamentary</w:t>
      </w:r>
      <w:r>
        <w:t xml:space="preserve"> </w:t>
      </w:r>
      <w:r>
        <w:t xml:space="preserve">settings sometimes lack face validity when estimating the</w:t>
      </w:r>
      <w:r>
        <w:t xml:space="preserve"> </w:t>
      </w:r>
      <w:r>
        <w:t xml:space="preserve">ideological positions of legislators because government-opposition</w:t>
      </w:r>
      <w:r>
        <w:t xml:space="preserve"> </w:t>
      </w:r>
      <w:r>
        <w:t xml:space="preserve">dynamics usually override individual</w:t>
      </w:r>
      <w:r>
        <w:t xml:space="preserve"> </w:t>
      </w:r>
      <w:r>
        <w:t xml:space="preserve">‘sincere’</w:t>
      </w:r>
      <w:r>
        <w:t xml:space="preserve"> </w:t>
      </w:r>
      <w:r>
        <w:t xml:space="preserve">ideology as a</w:t>
      </w:r>
      <w:r>
        <w:t xml:space="preserve"> </w:t>
      </w:r>
      <w:r>
        <w:t xml:space="preserve">predictor of vote choice. Legislators who cross the floor appear as</w:t>
      </w:r>
      <w:r>
        <w:t xml:space="preserve"> </w:t>
      </w:r>
      <w:r>
        <w:t xml:space="preserve">moderates</w:t>
      </w:r>
      <w:r>
        <w:t xml:space="preserve"> </w:t>
      </w:r>
      <w:r>
        <w:t xml:space="preserve">(Spirling and McLean 2007)</w:t>
      </w:r>
      <w:r>
        <w:t xml:space="preserve">, though they are often extremists</w:t>
      </w:r>
      <w:r>
        <w:t xml:space="preserve"> </w:t>
      </w:r>
      <w:r>
        <w:t xml:space="preserve">within their parties who rebel strategically to signal their</w:t>
      </w:r>
      <w:r>
        <w:t xml:space="preserve"> </w:t>
      </w:r>
      <w:r>
        <w:t xml:space="preserve">opposition to the centrism of the party leadership</w:t>
      </w:r>
      <w:r>
        <w:t xml:space="preserve"> </w:t>
      </w:r>
      <w:r>
        <w:t xml:space="preserve">(Slapin et al. 2018)</w:t>
      </w:r>
      <w:r>
        <w:t xml:space="preserve">.</w:t>
      </w:r>
      <w:r>
        <w:t xml:space="preserve"> </w:t>
      </w:r>
      <w:r>
        <w:t xml:space="preserve">For this reason, I do not interpret the results for the major</w:t>
      </w:r>
      <w:r>
        <w:t xml:space="preserve"> </w:t>
      </w:r>
      <w:r>
        <w:t xml:space="preserve">parties in terms of individual ideological positions on a left-right</w:t>
      </w:r>
      <w:r>
        <w:t xml:space="preserve"> </w:t>
      </w:r>
      <w:r>
        <w:t xml:space="preserve">spectrum. In any case, the cohesion scores show that the differences</w:t>
      </w:r>
      <w:r>
        <w:t xml:space="preserve"> </w:t>
      </w:r>
      <w:r>
        <w:t xml:space="preserve">in position among parties are driven almost entirely by abstentions.</w:t>
      </w:r>
      <w:r>
        <w:t xml:space="preserve"> </w:t>
      </w:r>
      <w:r>
        <w:t xml:space="preserve">It’s not possible to know whether these abstentions are strategic or</w:t>
      </w:r>
      <w:r>
        <w:t xml:space="preserve"> </w:t>
      </w:r>
      <w:r>
        <w:t xml:space="preserve">not.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673AB2" w14:textId="77777777" w:rsidR="002211DD" w:rsidRDefault="002211D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6413E1" w14:textId="77777777" w:rsidR="002211DD" w:rsidRDefault="002211D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F10AAD" w14:textId="77777777" w:rsidR="002211DD" w:rsidRDefault="002211DD">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FFFFFF1D"/>
    <w:multiLevelType w:val="multilevel"/>
    <w:tmpl w:val="B0D42628"/>
    <w:lvl w:ilvl="0">
      <w:start w:val="1"/>
      <w:numFmt w:val="bullet"/>
      <w:lvlText w:val=""/>
      <w:lvlJc w:val="left"/>
      <w:pPr>
        <w:tabs>
          <w:tab w:pos="0" w:val="num"/>
        </w:tabs>
        <w:ind w:firstLine="0" w:left="0"/>
      </w:pPr>
      <w:rPr>
        <w:rFonts w:ascii="Symbol" w:hAnsi="Symbol" w:hint="default"/>
      </w:rPr>
    </w:lvl>
    <w:lvl w:ilvl="1">
      <w:start w:val="1"/>
      <w:numFmt w:val="bullet"/>
      <w:lvlText w:val=""/>
      <w:lvlJc w:val="left"/>
      <w:pPr>
        <w:tabs>
          <w:tab w:pos="720" w:val="num"/>
        </w:tabs>
        <w:ind w:hanging="360" w:left="1080"/>
      </w:pPr>
      <w:rPr>
        <w:rFonts w:ascii="Symbol" w:hAnsi="Symbol" w:hint="default"/>
      </w:rPr>
    </w:lvl>
    <w:lvl w:ilvl="2">
      <w:start w:val="1"/>
      <w:numFmt w:val="bullet"/>
      <w:lvlText w:val="o"/>
      <w:lvlJc w:val="left"/>
      <w:pPr>
        <w:tabs>
          <w:tab w:pos="1440" w:val="num"/>
        </w:tabs>
        <w:ind w:hanging="360" w:left="1800"/>
      </w:pPr>
      <w:rPr>
        <w:rFonts w:ascii="Courier New" w:hAnsi="Courier New" w:hint="default"/>
      </w:rPr>
    </w:lvl>
    <w:lvl w:ilvl="3">
      <w:start w:val="1"/>
      <w:numFmt w:val="bullet"/>
      <w:lvlText w:val=""/>
      <w:lvlJc w:val="left"/>
      <w:pPr>
        <w:tabs>
          <w:tab w:pos="2160" w:val="num"/>
        </w:tabs>
        <w:ind w:hanging="360" w:left="2520"/>
      </w:pPr>
      <w:rPr>
        <w:rFonts w:ascii="Wingdings" w:hAnsi="Wingdings" w:hint="default"/>
      </w:rPr>
    </w:lvl>
    <w:lvl w:ilvl="4">
      <w:start w:val="1"/>
      <w:numFmt w:val="bullet"/>
      <w:lvlText w:val=""/>
      <w:lvlJc w:val="left"/>
      <w:pPr>
        <w:tabs>
          <w:tab w:pos="2880" w:val="num"/>
        </w:tabs>
        <w:ind w:hanging="360" w:left="3240"/>
      </w:pPr>
      <w:rPr>
        <w:rFonts w:ascii="Wingdings" w:hAnsi="Wingdings" w:hint="default"/>
      </w:rPr>
    </w:lvl>
    <w:lvl w:ilvl="5">
      <w:start w:val="1"/>
      <w:numFmt w:val="bullet"/>
      <w:lvlText w:val=""/>
      <w:lvlJc w:val="left"/>
      <w:pPr>
        <w:tabs>
          <w:tab w:pos="3600" w:val="num"/>
        </w:tabs>
        <w:ind w:hanging="360" w:left="3960"/>
      </w:pPr>
      <w:rPr>
        <w:rFonts w:ascii="Symbol" w:hAnsi="Symbol" w:hint="default"/>
      </w:rPr>
    </w:lvl>
    <w:lvl w:ilvl="6">
      <w:start w:val="1"/>
      <w:numFmt w:val="bullet"/>
      <w:lvlText w:val="o"/>
      <w:lvlJc w:val="left"/>
      <w:pPr>
        <w:tabs>
          <w:tab w:pos="4320" w:val="num"/>
        </w:tabs>
        <w:ind w:hanging="360" w:left="4680"/>
      </w:pPr>
      <w:rPr>
        <w:rFonts w:ascii="Courier New" w:hAnsi="Courier New" w:hint="default"/>
      </w:rPr>
    </w:lvl>
    <w:lvl w:ilvl="7">
      <w:start w:val="1"/>
      <w:numFmt w:val="bullet"/>
      <w:lvlText w:val=""/>
      <w:lvlJc w:val="left"/>
      <w:pPr>
        <w:tabs>
          <w:tab w:pos="5040" w:val="num"/>
        </w:tabs>
        <w:ind w:hanging="360" w:left="5400"/>
      </w:pPr>
      <w:rPr>
        <w:rFonts w:ascii="Wingdings" w:hAnsi="Wingdings" w:hint="default"/>
      </w:rPr>
    </w:lvl>
    <w:lvl w:ilvl="8">
      <w:start w:val="1"/>
      <w:numFmt w:val="bullet"/>
      <w:lvlText w:val=""/>
      <w:lvlJc w:val="left"/>
      <w:pPr>
        <w:tabs>
          <w:tab w:pos="5760" w:val="num"/>
        </w:tabs>
        <w:ind w:hanging="360" w:left="6120"/>
      </w:pPr>
      <w:rPr>
        <w:rFonts w:ascii="Wingdings" w:hAnsi="Wingdings" w:hint="default"/>
      </w:rPr>
    </w:lvl>
  </w:abstractNum>
  <w:abstractNum w15:restartNumberingAfterBreak="0" w:abstractNumId="1">
    <w:nsid w:val="FFFFFF7C"/>
    <w:multiLevelType w:val="singleLevel"/>
    <w:tmpl w:val="B1FECAFE"/>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7C74E2DA"/>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E8F228EA"/>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A274B1E8"/>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D2442F1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79147BCA"/>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594C1B5A"/>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34C6DA04"/>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C472E25E"/>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5DC819AE"/>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05CC0843"/>
    <w:multiLevelType w:val="multilevel"/>
    <w:tmpl w:val="9426EBB6"/>
    <w:lvl w:ilvl="0">
      <w:start w:val="1"/>
      <w:numFmt w:val="decimal"/>
      <w:lvlText w:val="(%1)"/>
      <w:lvlJc w:val="right"/>
      <w:pPr>
        <w:ind w:hanging="181" w:left="720"/>
      </w:pPr>
      <w:rPr>
        <w:rFonts w:hint="default"/>
      </w:rPr>
    </w:lvl>
    <w:lvl w:ilvl="1">
      <w:start w:val="1"/>
      <w:numFmt w:val="lowerLetter"/>
      <w:lvlText w:val="%2."/>
      <w:lvlJc w:val="left"/>
      <w:pPr>
        <w:ind w:hanging="360" w:left="1440"/>
      </w:pPr>
    </w:lvl>
    <w:lvl w:ilvl="2">
      <w:start w:val="1"/>
      <w:numFmt w:val="lowerRoman"/>
      <w:lvlText w:val="%3."/>
      <w:lvlJc w:val="right"/>
      <w:pPr>
        <w:ind w:hanging="180" w:left="2160"/>
      </w:pPr>
    </w:lvl>
    <w:lvl w:ilvl="3">
      <w:start w:val="1"/>
      <w:numFmt w:val="decimal"/>
      <w:lvlText w:val="%4."/>
      <w:lvlJc w:val="left"/>
      <w:pPr>
        <w:ind w:hanging="360" w:left="2880"/>
      </w:pPr>
    </w:lvl>
    <w:lvl w:ilvl="4">
      <w:start w:val="1"/>
      <w:numFmt w:val="lowerLetter"/>
      <w:lvlText w:val="%5."/>
      <w:lvlJc w:val="left"/>
      <w:pPr>
        <w:ind w:hanging="360" w:left="3600"/>
      </w:pPr>
    </w:lvl>
    <w:lvl w:ilvl="5">
      <w:start w:val="1"/>
      <w:numFmt w:val="lowerRoman"/>
      <w:lvlText w:val="%6."/>
      <w:lvlJc w:val="right"/>
      <w:pPr>
        <w:ind w:hanging="180" w:left="4320"/>
      </w:pPr>
    </w:lvl>
    <w:lvl w:ilvl="6">
      <w:start w:val="1"/>
      <w:numFmt w:val="decimal"/>
      <w:lvlText w:val="%7."/>
      <w:lvlJc w:val="left"/>
      <w:pPr>
        <w:ind w:hanging="360" w:left="5040"/>
      </w:pPr>
    </w:lvl>
    <w:lvl w:ilvl="7">
      <w:start w:val="1"/>
      <w:numFmt w:val="lowerLetter"/>
      <w:lvlText w:val="%8."/>
      <w:lvlJc w:val="left"/>
      <w:pPr>
        <w:ind w:hanging="360" w:left="5760"/>
      </w:pPr>
    </w:lvl>
    <w:lvl w:ilvl="8">
      <w:start w:val="1"/>
      <w:numFmt w:val="lowerRoman"/>
      <w:lvlText w:val="%9."/>
      <w:lvlJc w:val="right"/>
      <w:pPr>
        <w:ind w:hanging="180" w:left="6480"/>
      </w:pPr>
    </w:lvl>
  </w:abstractNum>
  <w:abstractNum w15:restartNumberingAfterBreak="0" w:abstractNumId="12">
    <w:nsid w:val="0D0E7653"/>
    <w:multiLevelType w:val="multilevel"/>
    <w:tmpl w:val="0409001D"/>
    <w:lvl w:ilvl="0">
      <w:start w:val="1"/>
      <w:numFmt w:val="decimal"/>
      <w:lvlText w:val="%1)"/>
      <w:lvlJc w:val="left"/>
      <w:pPr>
        <w:ind w:hanging="360" w:left="360"/>
      </w:pPr>
    </w:lvl>
    <w:lvl w:ilvl="1">
      <w:start w:val="1"/>
      <w:numFmt w:val="lowerLetter"/>
      <w:lvlText w:val="%2)"/>
      <w:lvlJc w:val="left"/>
      <w:pPr>
        <w:ind w:hanging="360" w:left="720"/>
      </w:pPr>
    </w:lvl>
    <w:lvl w:ilvl="2">
      <w:start w:val="1"/>
      <w:numFmt w:val="lowerRoman"/>
      <w:lvlText w:val="%3)"/>
      <w:lvlJc w:val="left"/>
      <w:pPr>
        <w:ind w:hanging="360" w:left="1080"/>
      </w:pPr>
    </w:lvl>
    <w:lvl w:ilvl="3">
      <w:start w:val="1"/>
      <w:numFmt w:val="decimal"/>
      <w:lvlText w:val="(%4)"/>
      <w:lvlJc w:val="left"/>
      <w:pPr>
        <w:ind w:hanging="360" w:left="1440"/>
      </w:pPr>
    </w:lvl>
    <w:lvl w:ilvl="4">
      <w:start w:val="1"/>
      <w:numFmt w:val="lowerLetter"/>
      <w:lvlText w:val="(%5)"/>
      <w:lvlJc w:val="left"/>
      <w:pPr>
        <w:ind w:hanging="360" w:left="1800"/>
      </w:pPr>
    </w:lvl>
    <w:lvl w:ilvl="5">
      <w:start w:val="1"/>
      <w:numFmt w:val="lowerRoman"/>
      <w:lvlText w:val="(%6)"/>
      <w:lvlJc w:val="left"/>
      <w:pPr>
        <w:ind w:hanging="360" w:left="2160"/>
      </w:pPr>
    </w:lvl>
    <w:lvl w:ilvl="6">
      <w:start w:val="1"/>
      <w:numFmt w:val="decimal"/>
      <w:lvlText w:val="%7."/>
      <w:lvlJc w:val="left"/>
      <w:pPr>
        <w:ind w:hanging="360" w:left="2520"/>
      </w:pPr>
    </w:lvl>
    <w:lvl w:ilvl="7">
      <w:start w:val="1"/>
      <w:numFmt w:val="lowerLetter"/>
      <w:lvlText w:val="%8."/>
      <w:lvlJc w:val="left"/>
      <w:pPr>
        <w:ind w:hanging="360" w:left="2880"/>
      </w:pPr>
    </w:lvl>
    <w:lvl w:ilvl="8">
      <w:start w:val="1"/>
      <w:numFmt w:val="lowerRoman"/>
      <w:lvlText w:val="%9."/>
      <w:lvlJc w:val="left"/>
      <w:pPr>
        <w:ind w:hanging="360" w:left="3240"/>
      </w:pPr>
    </w:lvl>
  </w:abstractNum>
  <w:abstractNum w15:restartNumberingAfterBreak="0" w:abstractNumId="13">
    <w:nsid w:val="1F413159"/>
    <w:multiLevelType w:val="multilevel"/>
    <w:tmpl w:val="30C08770"/>
    <w:lvl w:ilvl="0">
      <w:start w:val="1"/>
      <w:numFmt w:val="decimal"/>
      <w:lvlText w:val="(%1)"/>
      <w:lvlJc w:val="right"/>
      <w:pPr>
        <w:ind w:hanging="153" w:left="720"/>
      </w:pPr>
      <w:rPr>
        <w:rFonts w:hint="default"/>
      </w:rPr>
    </w:lvl>
    <w:lvl w:ilvl="1">
      <w:start w:val="1"/>
      <w:numFmt w:val="lowerLetter"/>
      <w:lvlText w:val="%2."/>
      <w:lvlJc w:val="left"/>
      <w:pPr>
        <w:ind w:hanging="360" w:left="1440"/>
      </w:pPr>
    </w:lvl>
    <w:lvl w:ilvl="2">
      <w:start w:val="1"/>
      <w:numFmt w:val="lowerRoman"/>
      <w:lvlText w:val="%3."/>
      <w:lvlJc w:val="right"/>
      <w:pPr>
        <w:ind w:hanging="180" w:left="2160"/>
      </w:pPr>
    </w:lvl>
    <w:lvl w:ilvl="3">
      <w:start w:val="1"/>
      <w:numFmt w:val="decimal"/>
      <w:lvlText w:val="%4."/>
      <w:lvlJc w:val="left"/>
      <w:pPr>
        <w:ind w:hanging="360" w:left="2880"/>
      </w:pPr>
    </w:lvl>
    <w:lvl w:ilvl="4">
      <w:start w:val="1"/>
      <w:numFmt w:val="lowerLetter"/>
      <w:lvlText w:val="%5."/>
      <w:lvlJc w:val="left"/>
      <w:pPr>
        <w:ind w:hanging="360" w:left="3600"/>
      </w:pPr>
    </w:lvl>
    <w:lvl w:ilvl="5">
      <w:start w:val="1"/>
      <w:numFmt w:val="lowerRoman"/>
      <w:lvlText w:val="%6."/>
      <w:lvlJc w:val="right"/>
      <w:pPr>
        <w:ind w:hanging="180" w:left="4320"/>
      </w:pPr>
    </w:lvl>
    <w:lvl w:ilvl="6">
      <w:start w:val="1"/>
      <w:numFmt w:val="decimal"/>
      <w:lvlText w:val="%7."/>
      <w:lvlJc w:val="left"/>
      <w:pPr>
        <w:ind w:hanging="360" w:left="5040"/>
      </w:pPr>
    </w:lvl>
    <w:lvl w:ilvl="7">
      <w:start w:val="1"/>
      <w:numFmt w:val="lowerLetter"/>
      <w:lvlText w:val="%8."/>
      <w:lvlJc w:val="left"/>
      <w:pPr>
        <w:ind w:hanging="360" w:left="5760"/>
      </w:pPr>
    </w:lvl>
    <w:lvl w:ilvl="8">
      <w:start w:val="1"/>
      <w:numFmt w:val="lowerRoman"/>
      <w:lvlText w:val="%9."/>
      <w:lvlJc w:val="right"/>
      <w:pPr>
        <w:ind w:hanging="180" w:left="6480"/>
      </w:pPr>
    </w:lvl>
  </w:abstractNum>
  <w:abstractNum w15:restartNumberingAfterBreak="0" w:abstractNumId="14">
    <w:nsid w:val="1FBD58E1"/>
    <w:multiLevelType w:val="multilevel"/>
    <w:tmpl w:val="1B88B870"/>
    <w:lvl w:ilvl="0">
      <w:start w:val="1"/>
      <w:numFmt w:val="decimal"/>
      <w:lvlText w:val="(%1)"/>
      <w:lvlJc w:val="left"/>
      <w:pPr>
        <w:ind w:hanging="360" w:left="720"/>
      </w:pPr>
      <w:rPr>
        <w:rFonts w:hint="default"/>
      </w:rPr>
    </w:lvl>
    <w:lvl w:ilvl="1">
      <w:start w:val="1"/>
      <w:numFmt w:val="lowerLetter"/>
      <w:lvlText w:val="%2."/>
      <w:lvlJc w:val="left"/>
      <w:pPr>
        <w:ind w:hanging="360" w:left="1440"/>
      </w:pPr>
    </w:lvl>
    <w:lvl w:ilvl="2">
      <w:start w:val="1"/>
      <w:numFmt w:val="lowerRoman"/>
      <w:lvlText w:val="%3."/>
      <w:lvlJc w:val="right"/>
      <w:pPr>
        <w:ind w:hanging="180" w:left="2160"/>
      </w:pPr>
    </w:lvl>
    <w:lvl w:ilvl="3">
      <w:start w:val="1"/>
      <w:numFmt w:val="decimal"/>
      <w:lvlText w:val="%4."/>
      <w:lvlJc w:val="left"/>
      <w:pPr>
        <w:ind w:hanging="360" w:left="2880"/>
      </w:pPr>
    </w:lvl>
    <w:lvl w:ilvl="4">
      <w:start w:val="1"/>
      <w:numFmt w:val="lowerLetter"/>
      <w:lvlText w:val="%5."/>
      <w:lvlJc w:val="left"/>
      <w:pPr>
        <w:ind w:hanging="360" w:left="3600"/>
      </w:pPr>
    </w:lvl>
    <w:lvl w:ilvl="5">
      <w:start w:val="1"/>
      <w:numFmt w:val="lowerRoman"/>
      <w:lvlText w:val="%6."/>
      <w:lvlJc w:val="right"/>
      <w:pPr>
        <w:ind w:hanging="180" w:left="4320"/>
      </w:pPr>
    </w:lvl>
    <w:lvl w:ilvl="6">
      <w:start w:val="1"/>
      <w:numFmt w:val="decimal"/>
      <w:lvlText w:val="%7."/>
      <w:lvlJc w:val="left"/>
      <w:pPr>
        <w:ind w:hanging="360" w:left="5040"/>
      </w:pPr>
    </w:lvl>
    <w:lvl w:ilvl="7">
      <w:start w:val="1"/>
      <w:numFmt w:val="lowerLetter"/>
      <w:lvlText w:val="%8."/>
      <w:lvlJc w:val="left"/>
      <w:pPr>
        <w:ind w:hanging="360" w:left="5760"/>
      </w:pPr>
    </w:lvl>
    <w:lvl w:ilvl="8">
      <w:start w:val="1"/>
      <w:numFmt w:val="lowerRoman"/>
      <w:lvlText w:val="%9."/>
      <w:lvlJc w:val="right"/>
      <w:pPr>
        <w:ind w:hanging="180" w:left="6480"/>
      </w:pPr>
    </w:lvl>
  </w:abstractNum>
  <w:abstractNum w15:restartNumberingAfterBreak="0" w:abstractNumId="15">
    <w:nsid w:val="27E8289F"/>
    <w:multiLevelType w:val="hybridMultilevel"/>
    <w:tmpl w:val="E976D66C"/>
    <w:lvl w:ilvl="0" w:tplc="0CDA7214">
      <w:start w:val="1"/>
      <w:numFmt w:val="decimal"/>
      <w:lvlText w:val="(%1)"/>
      <w:lvlJc w:val="left"/>
      <w:pPr>
        <w:tabs>
          <w:tab w:pos="720" w:val="num"/>
        </w:tabs>
        <w:ind w:hanging="360" w:left="720"/>
      </w:pPr>
      <w:rPr>
        <w:rFonts w:hint="default"/>
      </w:rPr>
    </w:lvl>
    <w:lvl w:ilvl="1" w:tentative="1" w:tplc="08090019">
      <w:start w:val="1"/>
      <w:numFmt w:val="lowerLetter"/>
      <w:lvlText w:val="%2."/>
      <w:lvlJc w:val="left"/>
      <w:pPr>
        <w:tabs>
          <w:tab w:pos="1440" w:val="num"/>
        </w:tabs>
        <w:ind w:hanging="360" w:left="1440"/>
      </w:pPr>
    </w:lvl>
    <w:lvl w:ilvl="2" w:tentative="1" w:tplc="0809001B">
      <w:start w:val="1"/>
      <w:numFmt w:val="lowerRoman"/>
      <w:lvlText w:val="%3."/>
      <w:lvlJc w:val="right"/>
      <w:pPr>
        <w:tabs>
          <w:tab w:pos="2160" w:val="num"/>
        </w:tabs>
        <w:ind w:hanging="180" w:left="2160"/>
      </w:pPr>
    </w:lvl>
    <w:lvl w:ilvl="3" w:tentative="1" w:tplc="0809000F">
      <w:start w:val="1"/>
      <w:numFmt w:val="decimal"/>
      <w:lvlText w:val="%4."/>
      <w:lvlJc w:val="left"/>
      <w:pPr>
        <w:tabs>
          <w:tab w:pos="2880" w:val="num"/>
        </w:tabs>
        <w:ind w:hanging="360" w:left="2880"/>
      </w:pPr>
    </w:lvl>
    <w:lvl w:ilvl="4" w:tentative="1" w:tplc="08090019">
      <w:start w:val="1"/>
      <w:numFmt w:val="lowerLetter"/>
      <w:lvlText w:val="%5."/>
      <w:lvlJc w:val="left"/>
      <w:pPr>
        <w:tabs>
          <w:tab w:pos="3600" w:val="num"/>
        </w:tabs>
        <w:ind w:hanging="360" w:left="3600"/>
      </w:pPr>
    </w:lvl>
    <w:lvl w:ilvl="5" w:tentative="1" w:tplc="0809001B">
      <w:start w:val="1"/>
      <w:numFmt w:val="lowerRoman"/>
      <w:lvlText w:val="%6."/>
      <w:lvlJc w:val="right"/>
      <w:pPr>
        <w:tabs>
          <w:tab w:pos="4320" w:val="num"/>
        </w:tabs>
        <w:ind w:hanging="180" w:left="4320"/>
      </w:pPr>
    </w:lvl>
    <w:lvl w:ilvl="6" w:tentative="1" w:tplc="0809000F">
      <w:start w:val="1"/>
      <w:numFmt w:val="decimal"/>
      <w:lvlText w:val="%7."/>
      <w:lvlJc w:val="left"/>
      <w:pPr>
        <w:tabs>
          <w:tab w:pos="5040" w:val="num"/>
        </w:tabs>
        <w:ind w:hanging="360" w:left="5040"/>
      </w:pPr>
    </w:lvl>
    <w:lvl w:ilvl="7" w:tentative="1" w:tplc="08090019">
      <w:start w:val="1"/>
      <w:numFmt w:val="lowerLetter"/>
      <w:lvlText w:val="%8."/>
      <w:lvlJc w:val="left"/>
      <w:pPr>
        <w:tabs>
          <w:tab w:pos="5760" w:val="num"/>
        </w:tabs>
        <w:ind w:hanging="360" w:left="5760"/>
      </w:pPr>
    </w:lvl>
    <w:lvl w:ilvl="8" w:tentative="1" w:tplc="0809001B">
      <w:start w:val="1"/>
      <w:numFmt w:val="lowerRoman"/>
      <w:lvlText w:val="%9."/>
      <w:lvlJc w:val="right"/>
      <w:pPr>
        <w:tabs>
          <w:tab w:pos="6480" w:val="num"/>
        </w:tabs>
        <w:ind w:hanging="180" w:left="6480"/>
      </w:pPr>
    </w:lvl>
  </w:abstractNum>
  <w:abstractNum w15:restartNumberingAfterBreak="0" w:abstractNumId="16">
    <w:nsid w:val="389B5003"/>
    <w:multiLevelType w:val="multilevel"/>
    <w:tmpl w:val="DD5255FA"/>
    <w:lvl w:ilvl="0">
      <w:start w:val="1"/>
      <w:numFmt w:val="decimal"/>
      <w:lvlText w:val="(%1)"/>
      <w:lvlJc w:val="left"/>
      <w:pPr>
        <w:ind w:hanging="454" w:left="720"/>
      </w:pPr>
      <w:rPr>
        <w:rFonts w:hint="default"/>
      </w:rPr>
    </w:lvl>
    <w:lvl w:ilvl="1">
      <w:start w:val="1"/>
      <w:numFmt w:val="lowerLetter"/>
      <w:lvlText w:val="%2."/>
      <w:lvlJc w:val="left"/>
      <w:pPr>
        <w:ind w:hanging="360" w:left="1440"/>
      </w:pPr>
    </w:lvl>
    <w:lvl w:ilvl="2">
      <w:start w:val="1"/>
      <w:numFmt w:val="lowerRoman"/>
      <w:lvlText w:val="%3."/>
      <w:lvlJc w:val="right"/>
      <w:pPr>
        <w:ind w:hanging="180" w:left="2160"/>
      </w:pPr>
    </w:lvl>
    <w:lvl w:ilvl="3">
      <w:start w:val="1"/>
      <w:numFmt w:val="decimal"/>
      <w:lvlText w:val="%4."/>
      <w:lvlJc w:val="left"/>
      <w:pPr>
        <w:ind w:hanging="360" w:left="2880"/>
      </w:pPr>
    </w:lvl>
    <w:lvl w:ilvl="4">
      <w:start w:val="1"/>
      <w:numFmt w:val="lowerLetter"/>
      <w:lvlText w:val="%5."/>
      <w:lvlJc w:val="left"/>
      <w:pPr>
        <w:ind w:hanging="360" w:left="3600"/>
      </w:pPr>
    </w:lvl>
    <w:lvl w:ilvl="5">
      <w:start w:val="1"/>
      <w:numFmt w:val="lowerRoman"/>
      <w:lvlText w:val="%6."/>
      <w:lvlJc w:val="right"/>
      <w:pPr>
        <w:ind w:hanging="180" w:left="4320"/>
      </w:pPr>
    </w:lvl>
    <w:lvl w:ilvl="6">
      <w:start w:val="1"/>
      <w:numFmt w:val="decimal"/>
      <w:lvlText w:val="%7."/>
      <w:lvlJc w:val="left"/>
      <w:pPr>
        <w:ind w:hanging="360" w:left="5040"/>
      </w:pPr>
    </w:lvl>
    <w:lvl w:ilvl="7">
      <w:start w:val="1"/>
      <w:numFmt w:val="lowerLetter"/>
      <w:lvlText w:val="%8."/>
      <w:lvlJc w:val="left"/>
      <w:pPr>
        <w:ind w:hanging="360" w:left="5760"/>
      </w:pPr>
    </w:lvl>
    <w:lvl w:ilvl="8">
      <w:start w:val="1"/>
      <w:numFmt w:val="lowerRoman"/>
      <w:lvlText w:val="%9."/>
      <w:lvlJc w:val="right"/>
      <w:pPr>
        <w:ind w:hanging="180" w:left="6480"/>
      </w:pPr>
    </w:lvl>
  </w:abstractNum>
  <w:abstractNum w15:restartNumberingAfterBreak="0" w:abstractNumId="17">
    <w:nsid w:val="3C5D0C07"/>
    <w:multiLevelType w:val="hybridMultilevel"/>
    <w:tmpl w:val="4CA02766"/>
    <w:lvl w:ilvl="0" w:tplc="79367BA0">
      <w:start w:val="1"/>
      <w:numFmt w:val="decimal"/>
      <w:pStyle w:val="Numberedlist"/>
      <w:lvlText w:val="(%1)"/>
      <w:lvlJc w:val="right"/>
      <w:pPr>
        <w:ind w:hanging="153" w:left="720"/>
      </w:pPr>
      <w:rPr>
        <w:rFonts w:hint="default"/>
      </w:rPr>
    </w:lvl>
    <w:lvl w:ilvl="1" w:tplc="FE3AC208">
      <w:start w:val="1"/>
      <w:numFmt w:val="lowerLetter"/>
      <w:lvlText w:val="(%2)"/>
      <w:lvlJc w:val="left"/>
      <w:pPr>
        <w:ind w:hanging="360" w:left="1440"/>
      </w:pPr>
      <w:rPr>
        <w:rFonts w:hint="default"/>
      </w:rPr>
    </w:lvl>
    <w:lvl w:ilvl="2" w:tplc="77E4D7DE">
      <w:start w:val="1"/>
      <w:numFmt w:val="lowerRoman"/>
      <w:lvlText w:val="(%3)"/>
      <w:lvlJc w:val="right"/>
      <w:pPr>
        <w:ind w:hanging="180" w:left="2160"/>
      </w:pPr>
      <w:rPr>
        <w:rFonts w:hint="default"/>
      </w:r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15:restartNumberingAfterBreak="0" w:abstractNumId="18">
    <w:nsid w:val="3D4A71FF"/>
    <w:multiLevelType w:val="hybridMultilevel"/>
    <w:tmpl w:val="CADCD1BE"/>
    <w:lvl w:ilvl="0" w:tplc="0809000F">
      <w:start w:val="1"/>
      <w:numFmt w:val="decimal"/>
      <w:lvlText w:val="%1."/>
      <w:lvlJc w:val="left"/>
      <w:pPr>
        <w:ind w:hanging="360" w:left="360"/>
      </w:pPr>
      <w:rPr>
        <w:rFonts w:hint="default"/>
      </w:rPr>
    </w:lvl>
    <w:lvl w:ilvl="1" w:tentative="1" w:tplc="08090019">
      <w:start w:val="1"/>
      <w:numFmt w:val="lowerLetter"/>
      <w:lvlText w:val="%2."/>
      <w:lvlJc w:val="left"/>
      <w:pPr>
        <w:ind w:hanging="360" w:left="1080"/>
      </w:pPr>
    </w:lvl>
    <w:lvl w:ilvl="2" w:tentative="1" w:tplc="0809001B">
      <w:start w:val="1"/>
      <w:numFmt w:val="lowerRoman"/>
      <w:lvlText w:val="%3."/>
      <w:lvlJc w:val="right"/>
      <w:pPr>
        <w:ind w:hanging="180" w:left="1800"/>
      </w:pPr>
    </w:lvl>
    <w:lvl w:ilvl="3" w:tentative="1" w:tplc="0809000F">
      <w:start w:val="1"/>
      <w:numFmt w:val="decimal"/>
      <w:lvlText w:val="%4."/>
      <w:lvlJc w:val="left"/>
      <w:pPr>
        <w:ind w:hanging="360" w:left="2520"/>
      </w:pPr>
    </w:lvl>
    <w:lvl w:ilvl="4" w:tentative="1" w:tplc="08090019">
      <w:start w:val="1"/>
      <w:numFmt w:val="lowerLetter"/>
      <w:lvlText w:val="%5."/>
      <w:lvlJc w:val="left"/>
      <w:pPr>
        <w:ind w:hanging="360" w:left="3240"/>
      </w:pPr>
    </w:lvl>
    <w:lvl w:ilvl="5" w:tentative="1" w:tplc="0809001B">
      <w:start w:val="1"/>
      <w:numFmt w:val="lowerRoman"/>
      <w:lvlText w:val="%6."/>
      <w:lvlJc w:val="right"/>
      <w:pPr>
        <w:ind w:hanging="180" w:left="3960"/>
      </w:pPr>
    </w:lvl>
    <w:lvl w:ilvl="6" w:tentative="1" w:tplc="0809000F">
      <w:start w:val="1"/>
      <w:numFmt w:val="decimal"/>
      <w:lvlText w:val="%7."/>
      <w:lvlJc w:val="left"/>
      <w:pPr>
        <w:ind w:hanging="360" w:left="4680"/>
      </w:pPr>
    </w:lvl>
    <w:lvl w:ilvl="7" w:tentative="1" w:tplc="08090019">
      <w:start w:val="1"/>
      <w:numFmt w:val="lowerLetter"/>
      <w:lvlText w:val="%8."/>
      <w:lvlJc w:val="left"/>
      <w:pPr>
        <w:ind w:hanging="360" w:left="5400"/>
      </w:pPr>
    </w:lvl>
    <w:lvl w:ilvl="8" w:tentative="1" w:tplc="0809001B">
      <w:start w:val="1"/>
      <w:numFmt w:val="lowerRoman"/>
      <w:lvlText w:val="%9."/>
      <w:lvlJc w:val="right"/>
      <w:pPr>
        <w:ind w:hanging="180" w:left="6120"/>
      </w:pPr>
    </w:lvl>
  </w:abstractNum>
  <w:abstractNum w15:restartNumberingAfterBreak="0" w:abstractNumId="19">
    <w:nsid w:val="5838135E"/>
    <w:multiLevelType w:val="hybridMultilevel"/>
    <w:tmpl w:val="68EEE13A"/>
    <w:lvl w:ilvl="0" w:tplc="08090001">
      <w:start w:val="1"/>
      <w:numFmt w:val="bullet"/>
      <w:lvlText w:val=""/>
      <w:lvlJc w:val="left"/>
      <w:pPr>
        <w:tabs>
          <w:tab w:pos="720" w:val="num"/>
        </w:tabs>
        <w:ind w:hanging="360" w:left="720"/>
      </w:pPr>
      <w:rPr>
        <w:rFonts w:ascii="Symbol" w:hAnsi="Symbol" w:hint="default"/>
      </w:rPr>
    </w:lvl>
    <w:lvl w:ilvl="1" w:tentative="1" w:tplc="08090003">
      <w:start w:val="1"/>
      <w:numFmt w:val="bullet"/>
      <w:lvlText w:val="o"/>
      <w:lvlJc w:val="left"/>
      <w:pPr>
        <w:tabs>
          <w:tab w:pos="1440" w:val="num"/>
        </w:tabs>
        <w:ind w:hanging="360" w:left="1440"/>
      </w:pPr>
      <w:rPr>
        <w:rFonts w:ascii="Courier New" w:cs="Arial" w:hAnsi="Courier New" w:hint="default"/>
      </w:rPr>
    </w:lvl>
    <w:lvl w:ilvl="2" w:tentative="1" w:tplc="08090005">
      <w:start w:val="1"/>
      <w:numFmt w:val="bullet"/>
      <w:lvlText w:val=""/>
      <w:lvlJc w:val="left"/>
      <w:pPr>
        <w:tabs>
          <w:tab w:pos="2160" w:val="num"/>
        </w:tabs>
        <w:ind w:hanging="360" w:left="2160"/>
      </w:pPr>
      <w:rPr>
        <w:rFonts w:ascii="Wingdings" w:hAnsi="Wingdings" w:hint="default"/>
      </w:rPr>
    </w:lvl>
    <w:lvl w:ilvl="3" w:tentative="1" w:tplc="08090001">
      <w:start w:val="1"/>
      <w:numFmt w:val="bullet"/>
      <w:lvlText w:val=""/>
      <w:lvlJc w:val="left"/>
      <w:pPr>
        <w:tabs>
          <w:tab w:pos="2880" w:val="num"/>
        </w:tabs>
        <w:ind w:hanging="360" w:left="2880"/>
      </w:pPr>
      <w:rPr>
        <w:rFonts w:ascii="Symbol" w:hAnsi="Symbol" w:hint="default"/>
      </w:rPr>
    </w:lvl>
    <w:lvl w:ilvl="4" w:tentative="1" w:tplc="08090003">
      <w:start w:val="1"/>
      <w:numFmt w:val="bullet"/>
      <w:lvlText w:val="o"/>
      <w:lvlJc w:val="left"/>
      <w:pPr>
        <w:tabs>
          <w:tab w:pos="3600" w:val="num"/>
        </w:tabs>
        <w:ind w:hanging="360" w:left="3600"/>
      </w:pPr>
      <w:rPr>
        <w:rFonts w:ascii="Courier New" w:cs="Arial" w:hAnsi="Courier New" w:hint="default"/>
      </w:rPr>
    </w:lvl>
    <w:lvl w:ilvl="5" w:tentative="1" w:tplc="08090005">
      <w:start w:val="1"/>
      <w:numFmt w:val="bullet"/>
      <w:lvlText w:val=""/>
      <w:lvlJc w:val="left"/>
      <w:pPr>
        <w:tabs>
          <w:tab w:pos="4320" w:val="num"/>
        </w:tabs>
        <w:ind w:hanging="360" w:left="4320"/>
      </w:pPr>
      <w:rPr>
        <w:rFonts w:ascii="Wingdings" w:hAnsi="Wingdings" w:hint="default"/>
      </w:rPr>
    </w:lvl>
    <w:lvl w:ilvl="6" w:tentative="1" w:tplc="08090001">
      <w:start w:val="1"/>
      <w:numFmt w:val="bullet"/>
      <w:lvlText w:val=""/>
      <w:lvlJc w:val="left"/>
      <w:pPr>
        <w:tabs>
          <w:tab w:pos="5040" w:val="num"/>
        </w:tabs>
        <w:ind w:hanging="360" w:left="5040"/>
      </w:pPr>
      <w:rPr>
        <w:rFonts w:ascii="Symbol" w:hAnsi="Symbol" w:hint="default"/>
      </w:rPr>
    </w:lvl>
    <w:lvl w:ilvl="7" w:tentative="1" w:tplc="08090003">
      <w:start w:val="1"/>
      <w:numFmt w:val="bullet"/>
      <w:lvlText w:val="o"/>
      <w:lvlJc w:val="left"/>
      <w:pPr>
        <w:tabs>
          <w:tab w:pos="5760" w:val="num"/>
        </w:tabs>
        <w:ind w:hanging="360" w:left="5760"/>
      </w:pPr>
      <w:rPr>
        <w:rFonts w:ascii="Courier New" w:cs="Arial" w:hAnsi="Courier New" w:hint="default"/>
      </w:rPr>
    </w:lvl>
    <w:lvl w:ilvl="8" w:tentative="1" w:tplc="08090005">
      <w:start w:val="1"/>
      <w:numFmt w:val="bullet"/>
      <w:lvlText w:val=""/>
      <w:lvlJc w:val="left"/>
      <w:pPr>
        <w:tabs>
          <w:tab w:pos="6480" w:val="num"/>
        </w:tabs>
        <w:ind w:hanging="360" w:left="6480"/>
      </w:pPr>
      <w:rPr>
        <w:rFonts w:ascii="Wingdings" w:hAnsi="Wingdings" w:hint="default"/>
      </w:rPr>
    </w:lvl>
  </w:abstractNum>
  <w:abstractNum w15:restartNumberingAfterBreak="0" w:abstractNumId="20">
    <w:nsid w:val="5BD96BF8"/>
    <w:multiLevelType w:val="hybridMultilevel"/>
    <w:tmpl w:val="76D2C65A"/>
    <w:lvl w:ilvl="0" w:tplc="0456C424">
      <w:start w:val="1"/>
      <w:numFmt w:val="bullet"/>
      <w:pStyle w:val="Bulletedlist"/>
      <w:lvlText w:val=""/>
      <w:lvlJc w:val="left"/>
      <w:pPr>
        <w:ind w:hanging="360" w:left="720"/>
      </w:pPr>
      <w:rPr>
        <w:rFonts w:ascii="Symbol" w:hAnsi="Symbol" w:hint="default"/>
      </w:rPr>
    </w:lvl>
    <w:lvl w:ilvl="1" w:tentative="1" w:tplc="08090003">
      <w:start w:val="1"/>
      <w:numFmt w:val="bullet"/>
      <w:lvlText w:val="o"/>
      <w:lvlJc w:val="left"/>
      <w:pPr>
        <w:ind w:hanging="360" w:left="1440"/>
      </w:pPr>
      <w:rPr>
        <w:rFonts w:ascii="Courier New" w:cs="Arial" w:hAnsi="Courier New" w:hint="default"/>
      </w:rPr>
    </w:lvl>
    <w:lvl w:ilvl="2" w:tentative="1" w:tplc="08090005">
      <w:start w:val="1"/>
      <w:numFmt w:val="bullet"/>
      <w:lvlText w:val=""/>
      <w:lvlJc w:val="left"/>
      <w:pPr>
        <w:ind w:hanging="360" w:left="2160"/>
      </w:pPr>
      <w:rPr>
        <w:rFonts w:ascii="Wingdings" w:hAnsi="Wingdings" w:hint="default"/>
      </w:rPr>
    </w:lvl>
    <w:lvl w:ilvl="3" w:tentative="1" w:tplc="08090001">
      <w:start w:val="1"/>
      <w:numFmt w:val="bullet"/>
      <w:lvlText w:val=""/>
      <w:lvlJc w:val="left"/>
      <w:pPr>
        <w:ind w:hanging="360" w:left="2880"/>
      </w:pPr>
      <w:rPr>
        <w:rFonts w:ascii="Symbol" w:hAnsi="Symbol" w:hint="default"/>
      </w:rPr>
    </w:lvl>
    <w:lvl w:ilvl="4" w:tentative="1" w:tplc="08090003">
      <w:start w:val="1"/>
      <w:numFmt w:val="bullet"/>
      <w:lvlText w:val="o"/>
      <w:lvlJc w:val="left"/>
      <w:pPr>
        <w:ind w:hanging="360" w:left="3600"/>
      </w:pPr>
      <w:rPr>
        <w:rFonts w:ascii="Courier New" w:cs="Arial"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Arial" w:hAnsi="Courier New" w:hint="default"/>
      </w:rPr>
    </w:lvl>
    <w:lvl w:ilvl="8" w:tentative="1" w:tplc="08090005">
      <w:start w:val="1"/>
      <w:numFmt w:val="bullet"/>
      <w:lvlText w:val=""/>
      <w:lvlJc w:val="left"/>
      <w:pPr>
        <w:ind w:hanging="360" w:left="6480"/>
      </w:pPr>
      <w:rPr>
        <w:rFonts w:ascii="Wingdings" w:hAnsi="Wingdings" w:hint="default"/>
      </w:rPr>
    </w:lvl>
  </w:abstractNum>
  <w:abstractNum w15:restartNumberingAfterBreak="0" w:abstractNumId="21">
    <w:nsid w:val="5DD751B3"/>
    <w:multiLevelType w:val="hybridMultilevel"/>
    <w:tmpl w:val="57082860"/>
    <w:lvl w:ilvl="0" w:tplc="0809000F">
      <w:start w:val="1"/>
      <w:numFmt w:val="decimal"/>
      <w:lvlText w:val="%1."/>
      <w:lvlJc w:val="left"/>
      <w:pPr>
        <w:ind w:hanging="360" w:left="720"/>
      </w:pPr>
      <w:rPr>
        <w:rFonts w:hint="default"/>
      </w:rPr>
    </w:lvl>
    <w:lvl w:ilvl="1" w:tentative="1" w:tplc="08090019">
      <w:start w:val="1"/>
      <w:numFmt w:val="lowerLetter"/>
      <w:lvlText w:val="%2."/>
      <w:lvlJc w:val="left"/>
      <w:pPr>
        <w:ind w:hanging="360" w:left="1440"/>
      </w:pPr>
    </w:lvl>
    <w:lvl w:ilvl="2" w:tentative="1" w:tplc="0809001B">
      <w:start w:val="1"/>
      <w:numFmt w:val="lowerRoman"/>
      <w:lvlText w:val="%3."/>
      <w:lvlJc w:val="right"/>
      <w:pPr>
        <w:ind w:hanging="180" w:left="2160"/>
      </w:p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15:restartNumberingAfterBreak="0" w:abstractNumId="22">
    <w:nsid w:val="63FA38AF"/>
    <w:multiLevelType w:val="hybridMultilevel"/>
    <w:tmpl w:val="C96A95C2"/>
    <w:lvl w:ilvl="0" w:tplc="0809000F">
      <w:start w:val="1"/>
      <w:numFmt w:val="decimal"/>
      <w:lvlText w:val="%1."/>
      <w:lvlJc w:val="left"/>
      <w:pPr>
        <w:ind w:hanging="360" w:left="720"/>
      </w:pPr>
      <w:rPr>
        <w:rFonts w:hint="default"/>
      </w:rPr>
    </w:lvl>
    <w:lvl w:ilvl="1" w:tentative="1" w:tplc="08090019">
      <w:start w:val="1"/>
      <w:numFmt w:val="lowerLetter"/>
      <w:lvlText w:val="%2."/>
      <w:lvlJc w:val="left"/>
      <w:pPr>
        <w:ind w:hanging="360" w:left="1440"/>
      </w:pPr>
    </w:lvl>
    <w:lvl w:ilvl="2" w:tentative="1" w:tplc="0809001B">
      <w:start w:val="1"/>
      <w:numFmt w:val="lowerRoman"/>
      <w:lvlText w:val="%3."/>
      <w:lvlJc w:val="right"/>
      <w:pPr>
        <w:ind w:hanging="180" w:left="2160"/>
      </w:p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15:restartNumberingAfterBreak="0" w:abstractNumId="23">
    <w:nsid w:val="6D9373AB"/>
    <w:multiLevelType w:val="multilevel"/>
    <w:tmpl w:val="B89CB32C"/>
    <w:lvl w:ilvl="0">
      <w:start w:val="1"/>
      <w:numFmt w:val="decimal"/>
      <w:lvlText w:val="(%1)"/>
      <w:lvlJc w:val="right"/>
      <w:pPr>
        <w:ind w:hanging="153" w:left="720"/>
      </w:pPr>
      <w:rPr>
        <w:rFonts w:hint="default"/>
      </w:rPr>
    </w:lvl>
    <w:lvl w:ilvl="1">
      <w:start w:val="1"/>
      <w:numFmt w:val="lowerLetter"/>
      <w:lvlText w:val="(%2)"/>
      <w:lvlJc w:val="left"/>
      <w:pPr>
        <w:ind w:hanging="360" w:left="1440"/>
      </w:pPr>
      <w:rPr>
        <w:rFonts w:hint="default"/>
      </w:rPr>
    </w:lvl>
    <w:lvl w:ilvl="2">
      <w:start w:val="1"/>
      <w:numFmt w:val="lowerRoman"/>
      <w:lvlText w:val="%3."/>
      <w:lvlJc w:val="right"/>
      <w:pPr>
        <w:ind w:hanging="180" w:left="2160"/>
      </w:pPr>
    </w:lvl>
    <w:lvl w:ilvl="3">
      <w:start w:val="1"/>
      <w:numFmt w:val="decimal"/>
      <w:lvlText w:val="%4."/>
      <w:lvlJc w:val="left"/>
      <w:pPr>
        <w:ind w:hanging="360" w:left="2880"/>
      </w:pPr>
    </w:lvl>
    <w:lvl w:ilvl="4">
      <w:start w:val="1"/>
      <w:numFmt w:val="lowerLetter"/>
      <w:lvlText w:val="%5."/>
      <w:lvlJc w:val="left"/>
      <w:pPr>
        <w:ind w:hanging="360" w:left="3600"/>
      </w:pPr>
    </w:lvl>
    <w:lvl w:ilvl="5">
      <w:start w:val="1"/>
      <w:numFmt w:val="lowerRoman"/>
      <w:lvlText w:val="%6."/>
      <w:lvlJc w:val="right"/>
      <w:pPr>
        <w:ind w:hanging="180" w:left="4320"/>
      </w:pPr>
    </w:lvl>
    <w:lvl w:ilvl="6">
      <w:start w:val="1"/>
      <w:numFmt w:val="decimal"/>
      <w:lvlText w:val="%7."/>
      <w:lvlJc w:val="left"/>
      <w:pPr>
        <w:ind w:hanging="360" w:left="5040"/>
      </w:pPr>
    </w:lvl>
    <w:lvl w:ilvl="7">
      <w:start w:val="1"/>
      <w:numFmt w:val="lowerLetter"/>
      <w:lvlText w:val="%8."/>
      <w:lvlJc w:val="left"/>
      <w:pPr>
        <w:ind w:hanging="360" w:left="5760"/>
      </w:pPr>
    </w:lvl>
    <w:lvl w:ilvl="8">
      <w:start w:val="1"/>
      <w:numFmt w:val="lowerRoman"/>
      <w:lvlText w:val="%9."/>
      <w:lvlJc w:val="right"/>
      <w:pPr>
        <w:ind w:hanging="1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1479372661" w:numId="1">
    <w:abstractNumId w:val="15"/>
  </w:num>
  <w:num w16cid:durableId="446436299" w:numId="2">
    <w:abstractNumId w:val="19"/>
  </w:num>
  <w:num w16cid:durableId="95711218" w:numId="3">
    <w:abstractNumId w:val="1"/>
  </w:num>
  <w:num w16cid:durableId="649747570" w:numId="4">
    <w:abstractNumId w:val="2"/>
  </w:num>
  <w:num w16cid:durableId="206336777" w:numId="5">
    <w:abstractNumId w:val="3"/>
  </w:num>
  <w:num w16cid:durableId="1238782875" w:numId="6">
    <w:abstractNumId w:val="4"/>
  </w:num>
  <w:num w16cid:durableId="1431046284" w:numId="7">
    <w:abstractNumId w:val="9"/>
  </w:num>
  <w:num w16cid:durableId="2087603161" w:numId="8">
    <w:abstractNumId w:val="5"/>
  </w:num>
  <w:num w16cid:durableId="26686210" w:numId="9">
    <w:abstractNumId w:val="7"/>
  </w:num>
  <w:num w16cid:durableId="284239707" w:numId="10">
    <w:abstractNumId w:val="6"/>
  </w:num>
  <w:num w16cid:durableId="375197822" w:numId="11">
    <w:abstractNumId w:val="10"/>
  </w:num>
  <w:num w16cid:durableId="772626149" w:numId="12">
    <w:abstractNumId w:val="8"/>
  </w:num>
  <w:num w16cid:durableId="68889075" w:numId="13">
    <w:abstractNumId w:val="17"/>
  </w:num>
  <w:num w16cid:durableId="2130199117" w:numId="14">
    <w:abstractNumId w:val="20"/>
  </w:num>
  <w:num w16cid:durableId="1457524111" w:numId="15">
    <w:abstractNumId w:val="14"/>
  </w:num>
  <w:num w16cid:durableId="1356544559" w:numId="16">
    <w:abstractNumId w:val="16"/>
  </w:num>
  <w:num w16cid:durableId="1795826479" w:numId="17">
    <w:abstractNumId w:val="11"/>
  </w:num>
  <w:num w16cid:durableId="100607929" w:numId="18">
    <w:abstractNumId w:val="0"/>
  </w:num>
  <w:num w16cid:durableId="514927136" w:numId="19">
    <w:abstractNumId w:val="12"/>
  </w:num>
  <w:num w16cid:durableId="1703747165" w:numId="20">
    <w:abstractNumId w:val="20"/>
  </w:num>
  <w:num w16cid:durableId="1609195941" w:numId="21">
    <w:abstractNumId w:val="20"/>
  </w:num>
  <w:num w16cid:durableId="1142888044" w:numId="22">
    <w:abstractNumId w:val="20"/>
  </w:num>
  <w:num w16cid:durableId="1215853464" w:numId="23">
    <w:abstractNumId w:val="20"/>
  </w:num>
  <w:num w16cid:durableId="528640467" w:numId="24">
    <w:abstractNumId w:val="17"/>
  </w:num>
  <w:num w16cid:durableId="1081410083" w:numId="25">
    <w:abstractNumId w:val="18"/>
  </w:num>
  <w:num w16cid:durableId="1372800122" w:numId="26">
    <w:abstractNumId w:val="21"/>
  </w:num>
  <w:num w16cid:durableId="2058628478" w:numId="27">
    <w:abstractNumId w:val="22"/>
  </w:num>
  <w:num w16cid:durableId="1488471759" w:numId="28">
    <w:abstractNumId w:val="20"/>
  </w:num>
  <w:num w16cid:durableId="39786505" w:numId="29">
    <w:abstractNumId w:val="13"/>
  </w:num>
  <w:num w16cid:durableId="845287371" w:numId="30">
    <w:abstractNumId w:val="23"/>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42"/>
  <w:embedSystemFonts/>
  <w:proofState w:grammar="clean" w:spelling="clean"/>
  <w:stylePaneFormatFilter w:allStyles="0" w:alternateStyleNames="0" w:clearFormatting="1" w:customStyles="0" w:directFormattingOnNumbering="0" w:directFormattingOnParagraphs="0" w:directFormattingOnRuns="0" w:directFormattingOnTables="0" w:headingStyles="0" w:latentStyles="0" w:numberingStyles="0" w:stylesInUse="1" w:tableStyles="0" w:top3HeadingStyles="0" w:val="1008"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73C2"/>
    <w:rsid w:val="00001899"/>
    <w:rsid w:val="000049AD"/>
    <w:rsid w:val="0000681B"/>
    <w:rsid w:val="000133C0"/>
    <w:rsid w:val="00014C4E"/>
    <w:rsid w:val="00017107"/>
    <w:rsid w:val="000202E2"/>
    <w:rsid w:val="00022441"/>
    <w:rsid w:val="0002261E"/>
    <w:rsid w:val="00024839"/>
    <w:rsid w:val="00026871"/>
    <w:rsid w:val="00037A98"/>
    <w:rsid w:val="000427FB"/>
    <w:rsid w:val="0004455E"/>
    <w:rsid w:val="00047CB5"/>
    <w:rsid w:val="00051FAA"/>
    <w:rsid w:val="000572A9"/>
    <w:rsid w:val="00061325"/>
    <w:rsid w:val="000733AC"/>
    <w:rsid w:val="00074B81"/>
    <w:rsid w:val="00074D22"/>
    <w:rsid w:val="00075081"/>
    <w:rsid w:val="0007528A"/>
    <w:rsid w:val="000811AB"/>
    <w:rsid w:val="00083C5F"/>
    <w:rsid w:val="0009172C"/>
    <w:rsid w:val="000930EC"/>
    <w:rsid w:val="00095E61"/>
    <w:rsid w:val="000966C1"/>
    <w:rsid w:val="000970AC"/>
    <w:rsid w:val="000A1167"/>
    <w:rsid w:val="000A4428"/>
    <w:rsid w:val="000A6D40"/>
    <w:rsid w:val="000A7BC3"/>
    <w:rsid w:val="000B1661"/>
    <w:rsid w:val="000B1F0B"/>
    <w:rsid w:val="000B2E88"/>
    <w:rsid w:val="000B4603"/>
    <w:rsid w:val="000C09BE"/>
    <w:rsid w:val="000C1380"/>
    <w:rsid w:val="000C554F"/>
    <w:rsid w:val="000D0DC5"/>
    <w:rsid w:val="000D15FF"/>
    <w:rsid w:val="000D28DF"/>
    <w:rsid w:val="000D488B"/>
    <w:rsid w:val="000D68DF"/>
    <w:rsid w:val="000E138D"/>
    <w:rsid w:val="000E187A"/>
    <w:rsid w:val="000E2D61"/>
    <w:rsid w:val="000E450E"/>
    <w:rsid w:val="000E6259"/>
    <w:rsid w:val="000F4677"/>
    <w:rsid w:val="000F5BE0"/>
    <w:rsid w:val="00100587"/>
    <w:rsid w:val="0010284E"/>
    <w:rsid w:val="00103122"/>
    <w:rsid w:val="0010336A"/>
    <w:rsid w:val="001050F1"/>
    <w:rsid w:val="00105AEA"/>
    <w:rsid w:val="00106DAF"/>
    <w:rsid w:val="00114ABE"/>
    <w:rsid w:val="00116023"/>
    <w:rsid w:val="00134A51"/>
    <w:rsid w:val="00140727"/>
    <w:rsid w:val="00160628"/>
    <w:rsid w:val="00161344"/>
    <w:rsid w:val="00162195"/>
    <w:rsid w:val="0016322A"/>
    <w:rsid w:val="00165A21"/>
    <w:rsid w:val="001705CE"/>
    <w:rsid w:val="0017714B"/>
    <w:rsid w:val="001804DF"/>
    <w:rsid w:val="00181BDC"/>
    <w:rsid w:val="00181DB0"/>
    <w:rsid w:val="001829E3"/>
    <w:rsid w:val="001924C0"/>
    <w:rsid w:val="0019731E"/>
    <w:rsid w:val="001A09FE"/>
    <w:rsid w:val="001A67C9"/>
    <w:rsid w:val="001A69DE"/>
    <w:rsid w:val="001A713C"/>
    <w:rsid w:val="001B1C7C"/>
    <w:rsid w:val="001B398F"/>
    <w:rsid w:val="001B46C6"/>
    <w:rsid w:val="001B4B48"/>
    <w:rsid w:val="001B4D1F"/>
    <w:rsid w:val="001B7681"/>
    <w:rsid w:val="001B7CAE"/>
    <w:rsid w:val="001C0772"/>
    <w:rsid w:val="001C0D4F"/>
    <w:rsid w:val="001C1BA3"/>
    <w:rsid w:val="001C1DEC"/>
    <w:rsid w:val="001C5736"/>
    <w:rsid w:val="001D647F"/>
    <w:rsid w:val="001D6857"/>
    <w:rsid w:val="001E0572"/>
    <w:rsid w:val="001E0A67"/>
    <w:rsid w:val="001E1028"/>
    <w:rsid w:val="001E14E2"/>
    <w:rsid w:val="001E6302"/>
    <w:rsid w:val="001E7DCB"/>
    <w:rsid w:val="001F3411"/>
    <w:rsid w:val="001F4287"/>
    <w:rsid w:val="001F4DBA"/>
    <w:rsid w:val="0020415E"/>
    <w:rsid w:val="00204FF4"/>
    <w:rsid w:val="0021056E"/>
    <w:rsid w:val="0021075D"/>
    <w:rsid w:val="0021165A"/>
    <w:rsid w:val="00211BC9"/>
    <w:rsid w:val="0021620C"/>
    <w:rsid w:val="00216E78"/>
    <w:rsid w:val="00217275"/>
    <w:rsid w:val="002211DD"/>
    <w:rsid w:val="00236F4B"/>
    <w:rsid w:val="00242B0D"/>
    <w:rsid w:val="002467C6"/>
    <w:rsid w:val="0024692A"/>
    <w:rsid w:val="00252BBA"/>
    <w:rsid w:val="00253123"/>
    <w:rsid w:val="00264001"/>
    <w:rsid w:val="00266354"/>
    <w:rsid w:val="00267A18"/>
    <w:rsid w:val="00273462"/>
    <w:rsid w:val="0027395B"/>
    <w:rsid w:val="00275854"/>
    <w:rsid w:val="00283B41"/>
    <w:rsid w:val="00285F28"/>
    <w:rsid w:val="00286398"/>
    <w:rsid w:val="002A3C42"/>
    <w:rsid w:val="002A5D75"/>
    <w:rsid w:val="002B1B1A"/>
    <w:rsid w:val="002B7228"/>
    <w:rsid w:val="002C53EE"/>
    <w:rsid w:val="002D24F7"/>
    <w:rsid w:val="002D2799"/>
    <w:rsid w:val="002D2CD7"/>
    <w:rsid w:val="002D4DDC"/>
    <w:rsid w:val="002D4F75"/>
    <w:rsid w:val="002D6493"/>
    <w:rsid w:val="002D7AB6"/>
    <w:rsid w:val="002E06D0"/>
    <w:rsid w:val="002E3C27"/>
    <w:rsid w:val="002E403A"/>
    <w:rsid w:val="002E7F3A"/>
    <w:rsid w:val="002F4EDB"/>
    <w:rsid w:val="002F6054"/>
    <w:rsid w:val="00310E13"/>
    <w:rsid w:val="00315713"/>
    <w:rsid w:val="0031686C"/>
    <w:rsid w:val="00316FE0"/>
    <w:rsid w:val="003204D2"/>
    <w:rsid w:val="0032605E"/>
    <w:rsid w:val="003275D1"/>
    <w:rsid w:val="00330B2A"/>
    <w:rsid w:val="00331E17"/>
    <w:rsid w:val="00333063"/>
    <w:rsid w:val="003408E3"/>
    <w:rsid w:val="00343480"/>
    <w:rsid w:val="00345E89"/>
    <w:rsid w:val="003522A1"/>
    <w:rsid w:val="0035254B"/>
    <w:rsid w:val="00353555"/>
    <w:rsid w:val="003565D4"/>
    <w:rsid w:val="003607FB"/>
    <w:rsid w:val="00360FD5"/>
    <w:rsid w:val="0036340D"/>
    <w:rsid w:val="003634A5"/>
    <w:rsid w:val="00366868"/>
    <w:rsid w:val="00367506"/>
    <w:rsid w:val="00370085"/>
    <w:rsid w:val="003744A7"/>
    <w:rsid w:val="00376235"/>
    <w:rsid w:val="00381FB6"/>
    <w:rsid w:val="003836D3"/>
    <w:rsid w:val="00383A52"/>
    <w:rsid w:val="00391652"/>
    <w:rsid w:val="0039507F"/>
    <w:rsid w:val="003A1260"/>
    <w:rsid w:val="003A295F"/>
    <w:rsid w:val="003A41DD"/>
    <w:rsid w:val="003A7033"/>
    <w:rsid w:val="003B47FE"/>
    <w:rsid w:val="003B5673"/>
    <w:rsid w:val="003B6287"/>
    <w:rsid w:val="003B62C9"/>
    <w:rsid w:val="003C7176"/>
    <w:rsid w:val="003D0929"/>
    <w:rsid w:val="003D4729"/>
    <w:rsid w:val="003D7DD6"/>
    <w:rsid w:val="003E5AAF"/>
    <w:rsid w:val="003E600D"/>
    <w:rsid w:val="003E64DF"/>
    <w:rsid w:val="003E6A5D"/>
    <w:rsid w:val="003F193A"/>
    <w:rsid w:val="003F4207"/>
    <w:rsid w:val="003F5C46"/>
    <w:rsid w:val="003F7CBB"/>
    <w:rsid w:val="003F7D34"/>
    <w:rsid w:val="00412C8E"/>
    <w:rsid w:val="0041518D"/>
    <w:rsid w:val="0042221D"/>
    <w:rsid w:val="00424DD3"/>
    <w:rsid w:val="004269C5"/>
    <w:rsid w:val="00435939"/>
    <w:rsid w:val="00437CC7"/>
    <w:rsid w:val="00442B9C"/>
    <w:rsid w:val="00445EFA"/>
    <w:rsid w:val="0044738A"/>
    <w:rsid w:val="004473D3"/>
    <w:rsid w:val="00452231"/>
    <w:rsid w:val="00460C13"/>
    <w:rsid w:val="00463228"/>
    <w:rsid w:val="00463782"/>
    <w:rsid w:val="004667E0"/>
    <w:rsid w:val="0046760E"/>
    <w:rsid w:val="00470E10"/>
    <w:rsid w:val="00477A97"/>
    <w:rsid w:val="00481343"/>
    <w:rsid w:val="0048549E"/>
    <w:rsid w:val="004930C6"/>
    <w:rsid w:val="00493347"/>
    <w:rsid w:val="00496092"/>
    <w:rsid w:val="004A08DB"/>
    <w:rsid w:val="004A25D0"/>
    <w:rsid w:val="004A37E8"/>
    <w:rsid w:val="004A7549"/>
    <w:rsid w:val="004B09D4"/>
    <w:rsid w:val="004B309D"/>
    <w:rsid w:val="004B330A"/>
    <w:rsid w:val="004B7C8E"/>
    <w:rsid w:val="004C3D3C"/>
    <w:rsid w:val="004D0EDC"/>
    <w:rsid w:val="004D1220"/>
    <w:rsid w:val="004D14B3"/>
    <w:rsid w:val="004D1529"/>
    <w:rsid w:val="004D2253"/>
    <w:rsid w:val="004D5514"/>
    <w:rsid w:val="004D56C3"/>
    <w:rsid w:val="004E0338"/>
    <w:rsid w:val="004E4FF3"/>
    <w:rsid w:val="004E56A8"/>
    <w:rsid w:val="004F3B55"/>
    <w:rsid w:val="004F428E"/>
    <w:rsid w:val="004F4E46"/>
    <w:rsid w:val="004F6B7D"/>
    <w:rsid w:val="005015F6"/>
    <w:rsid w:val="005030C4"/>
    <w:rsid w:val="005031C5"/>
    <w:rsid w:val="00504FDC"/>
    <w:rsid w:val="005120CC"/>
    <w:rsid w:val="00512B7B"/>
    <w:rsid w:val="00514EA1"/>
    <w:rsid w:val="0051798B"/>
    <w:rsid w:val="00521F5A"/>
    <w:rsid w:val="00525E06"/>
    <w:rsid w:val="00526454"/>
    <w:rsid w:val="00531823"/>
    <w:rsid w:val="00534ECC"/>
    <w:rsid w:val="0053720D"/>
    <w:rsid w:val="00540EF5"/>
    <w:rsid w:val="00541BF3"/>
    <w:rsid w:val="00541CD3"/>
    <w:rsid w:val="005476FA"/>
    <w:rsid w:val="0055595E"/>
    <w:rsid w:val="00557988"/>
    <w:rsid w:val="00562C49"/>
    <w:rsid w:val="00562DEF"/>
    <w:rsid w:val="0056321A"/>
    <w:rsid w:val="00563A35"/>
    <w:rsid w:val="00566596"/>
    <w:rsid w:val="005741E9"/>
    <w:rsid w:val="005748CF"/>
    <w:rsid w:val="00584270"/>
    <w:rsid w:val="00584738"/>
    <w:rsid w:val="005920B0"/>
    <w:rsid w:val="0059380D"/>
    <w:rsid w:val="00595A8F"/>
    <w:rsid w:val="005977C2"/>
    <w:rsid w:val="00597BF2"/>
    <w:rsid w:val="005A1F54"/>
    <w:rsid w:val="005A3020"/>
    <w:rsid w:val="005B134E"/>
    <w:rsid w:val="005B2039"/>
    <w:rsid w:val="005B344F"/>
    <w:rsid w:val="005B3FBA"/>
    <w:rsid w:val="005B4A1D"/>
    <w:rsid w:val="005B674D"/>
    <w:rsid w:val="005C056D"/>
    <w:rsid w:val="005C0CBE"/>
    <w:rsid w:val="005C1FCF"/>
    <w:rsid w:val="005C3F41"/>
    <w:rsid w:val="005D1885"/>
    <w:rsid w:val="005D4A38"/>
    <w:rsid w:val="005E2EEA"/>
    <w:rsid w:val="005E3708"/>
    <w:rsid w:val="005E3CCD"/>
    <w:rsid w:val="005E3D6B"/>
    <w:rsid w:val="005E5B55"/>
    <w:rsid w:val="005E5E4A"/>
    <w:rsid w:val="005E693D"/>
    <w:rsid w:val="005E75BF"/>
    <w:rsid w:val="005F57BA"/>
    <w:rsid w:val="005F61E6"/>
    <w:rsid w:val="005F6C45"/>
    <w:rsid w:val="00605A69"/>
    <w:rsid w:val="00606C54"/>
    <w:rsid w:val="00614375"/>
    <w:rsid w:val="00615B0A"/>
    <w:rsid w:val="006168CF"/>
    <w:rsid w:val="0062011B"/>
    <w:rsid w:val="00626DE0"/>
    <w:rsid w:val="00630901"/>
    <w:rsid w:val="00631F8E"/>
    <w:rsid w:val="00636EE9"/>
    <w:rsid w:val="00640950"/>
    <w:rsid w:val="00641AE7"/>
    <w:rsid w:val="00642629"/>
    <w:rsid w:val="0064782B"/>
    <w:rsid w:val="0065293D"/>
    <w:rsid w:val="00653EFC"/>
    <w:rsid w:val="00654021"/>
    <w:rsid w:val="00661045"/>
    <w:rsid w:val="00666DA8"/>
    <w:rsid w:val="00671057"/>
    <w:rsid w:val="00675AAF"/>
    <w:rsid w:val="0068031A"/>
    <w:rsid w:val="00681B2F"/>
    <w:rsid w:val="0068335F"/>
    <w:rsid w:val="00687217"/>
    <w:rsid w:val="00693302"/>
    <w:rsid w:val="0069640B"/>
    <w:rsid w:val="006A1B83"/>
    <w:rsid w:val="006A21CD"/>
    <w:rsid w:val="006A5918"/>
    <w:rsid w:val="006B21B2"/>
    <w:rsid w:val="006B4A4A"/>
    <w:rsid w:val="006C19B2"/>
    <w:rsid w:val="006C4409"/>
    <w:rsid w:val="006C5BB8"/>
    <w:rsid w:val="006C6936"/>
    <w:rsid w:val="006C7B01"/>
    <w:rsid w:val="006D0FE8"/>
    <w:rsid w:val="006D4B2B"/>
    <w:rsid w:val="006D4F3C"/>
    <w:rsid w:val="006D5C66"/>
    <w:rsid w:val="006D7002"/>
    <w:rsid w:val="006E1B3C"/>
    <w:rsid w:val="006E23FB"/>
    <w:rsid w:val="006E325A"/>
    <w:rsid w:val="006E33EC"/>
    <w:rsid w:val="006E3802"/>
    <w:rsid w:val="006E6C02"/>
    <w:rsid w:val="006E73C2"/>
    <w:rsid w:val="006F231A"/>
    <w:rsid w:val="006F6B55"/>
    <w:rsid w:val="006F788D"/>
    <w:rsid w:val="006F78E1"/>
    <w:rsid w:val="00701072"/>
    <w:rsid w:val="00702054"/>
    <w:rsid w:val="007035A4"/>
    <w:rsid w:val="00711799"/>
    <w:rsid w:val="00712B78"/>
    <w:rsid w:val="0071393B"/>
    <w:rsid w:val="00713EE2"/>
    <w:rsid w:val="007177FC"/>
    <w:rsid w:val="00720C5E"/>
    <w:rsid w:val="00721701"/>
    <w:rsid w:val="00731835"/>
    <w:rsid w:val="007341F8"/>
    <w:rsid w:val="00734372"/>
    <w:rsid w:val="00734EB8"/>
    <w:rsid w:val="00735F8B"/>
    <w:rsid w:val="0074090B"/>
    <w:rsid w:val="00742D1F"/>
    <w:rsid w:val="00743EBA"/>
    <w:rsid w:val="00744C8E"/>
    <w:rsid w:val="0074707E"/>
    <w:rsid w:val="007516DC"/>
    <w:rsid w:val="00752E58"/>
    <w:rsid w:val="00754B80"/>
    <w:rsid w:val="00761918"/>
    <w:rsid w:val="00762F03"/>
    <w:rsid w:val="0076413B"/>
    <w:rsid w:val="007648AE"/>
    <w:rsid w:val="00764BF8"/>
    <w:rsid w:val="0076514D"/>
    <w:rsid w:val="00773D59"/>
    <w:rsid w:val="00781003"/>
    <w:rsid w:val="007869AB"/>
    <w:rsid w:val="007911FD"/>
    <w:rsid w:val="00793930"/>
    <w:rsid w:val="00793DD1"/>
    <w:rsid w:val="00794FEC"/>
    <w:rsid w:val="007A003E"/>
    <w:rsid w:val="007A1965"/>
    <w:rsid w:val="007A2ED1"/>
    <w:rsid w:val="007A4BE6"/>
    <w:rsid w:val="007B0DC6"/>
    <w:rsid w:val="007B1094"/>
    <w:rsid w:val="007B1762"/>
    <w:rsid w:val="007B3320"/>
    <w:rsid w:val="007C301F"/>
    <w:rsid w:val="007C4540"/>
    <w:rsid w:val="007C65AF"/>
    <w:rsid w:val="007D135D"/>
    <w:rsid w:val="007D730F"/>
    <w:rsid w:val="007D7CD8"/>
    <w:rsid w:val="007E3AA7"/>
    <w:rsid w:val="007F737D"/>
    <w:rsid w:val="0080308E"/>
    <w:rsid w:val="00805303"/>
    <w:rsid w:val="00806705"/>
    <w:rsid w:val="00806738"/>
    <w:rsid w:val="008216D5"/>
    <w:rsid w:val="008249CE"/>
    <w:rsid w:val="00831A50"/>
    <w:rsid w:val="00831B3C"/>
    <w:rsid w:val="00831C89"/>
    <w:rsid w:val="00832114"/>
    <w:rsid w:val="00834C46"/>
    <w:rsid w:val="0084093E"/>
    <w:rsid w:val="00841CE1"/>
    <w:rsid w:val="008473D8"/>
    <w:rsid w:val="008528DC"/>
    <w:rsid w:val="00852B8C"/>
    <w:rsid w:val="00854981"/>
    <w:rsid w:val="00864B2E"/>
    <w:rsid w:val="00865963"/>
    <w:rsid w:val="00871C1D"/>
    <w:rsid w:val="0087450E"/>
    <w:rsid w:val="00875A82"/>
    <w:rsid w:val="00876CA3"/>
    <w:rsid w:val="008772FE"/>
    <w:rsid w:val="008775F1"/>
    <w:rsid w:val="008821AE"/>
    <w:rsid w:val="00883D3A"/>
    <w:rsid w:val="008854F7"/>
    <w:rsid w:val="00885A9D"/>
    <w:rsid w:val="008929D2"/>
    <w:rsid w:val="00893636"/>
    <w:rsid w:val="00893B94"/>
    <w:rsid w:val="00896E9D"/>
    <w:rsid w:val="00896F11"/>
    <w:rsid w:val="008A1049"/>
    <w:rsid w:val="008A1C98"/>
    <w:rsid w:val="008A322D"/>
    <w:rsid w:val="008A4D72"/>
    <w:rsid w:val="008A6285"/>
    <w:rsid w:val="008A63B2"/>
    <w:rsid w:val="008B345D"/>
    <w:rsid w:val="008C1FC2"/>
    <w:rsid w:val="008C2980"/>
    <w:rsid w:val="008C4DD6"/>
    <w:rsid w:val="008C5AFB"/>
    <w:rsid w:val="008C5D08"/>
    <w:rsid w:val="008D07FB"/>
    <w:rsid w:val="008D0C02"/>
    <w:rsid w:val="008D357D"/>
    <w:rsid w:val="008D435A"/>
    <w:rsid w:val="008E387B"/>
    <w:rsid w:val="008E6087"/>
    <w:rsid w:val="008E758D"/>
    <w:rsid w:val="008F10A7"/>
    <w:rsid w:val="008F1860"/>
    <w:rsid w:val="008F755D"/>
    <w:rsid w:val="008F7A39"/>
    <w:rsid w:val="009021E8"/>
    <w:rsid w:val="00904677"/>
    <w:rsid w:val="00905EE2"/>
    <w:rsid w:val="00911440"/>
    <w:rsid w:val="00911712"/>
    <w:rsid w:val="00911B27"/>
    <w:rsid w:val="009170BE"/>
    <w:rsid w:val="00920B55"/>
    <w:rsid w:val="009262C9"/>
    <w:rsid w:val="00930EB9"/>
    <w:rsid w:val="00933DC7"/>
    <w:rsid w:val="009418F4"/>
    <w:rsid w:val="00942BBC"/>
    <w:rsid w:val="00944180"/>
    <w:rsid w:val="00944AA0"/>
    <w:rsid w:val="00947DA2"/>
    <w:rsid w:val="00951177"/>
    <w:rsid w:val="009673E8"/>
    <w:rsid w:val="00974DB8"/>
    <w:rsid w:val="00980661"/>
    <w:rsid w:val="0098093B"/>
    <w:rsid w:val="009876D4"/>
    <w:rsid w:val="009914A5"/>
    <w:rsid w:val="0099548E"/>
    <w:rsid w:val="00996456"/>
    <w:rsid w:val="00996A12"/>
    <w:rsid w:val="00997B0F"/>
    <w:rsid w:val="009A0CC3"/>
    <w:rsid w:val="009A1CAD"/>
    <w:rsid w:val="009A3440"/>
    <w:rsid w:val="009A5832"/>
    <w:rsid w:val="009A6838"/>
    <w:rsid w:val="009B24B5"/>
    <w:rsid w:val="009B4EBC"/>
    <w:rsid w:val="009B5ABB"/>
    <w:rsid w:val="009B73CE"/>
    <w:rsid w:val="009C2461"/>
    <w:rsid w:val="009C5A15"/>
    <w:rsid w:val="009C6FE2"/>
    <w:rsid w:val="009C7674"/>
    <w:rsid w:val="009D004A"/>
    <w:rsid w:val="009D5880"/>
    <w:rsid w:val="009E1FD4"/>
    <w:rsid w:val="009E3B07"/>
    <w:rsid w:val="009E51D1"/>
    <w:rsid w:val="009E5531"/>
    <w:rsid w:val="009F171E"/>
    <w:rsid w:val="009F3D2F"/>
    <w:rsid w:val="009F7052"/>
    <w:rsid w:val="00A02668"/>
    <w:rsid w:val="00A02801"/>
    <w:rsid w:val="00A06A39"/>
    <w:rsid w:val="00A07F58"/>
    <w:rsid w:val="00A131CB"/>
    <w:rsid w:val="00A14847"/>
    <w:rsid w:val="00A16D6D"/>
    <w:rsid w:val="00A21383"/>
    <w:rsid w:val="00A2199F"/>
    <w:rsid w:val="00A21B31"/>
    <w:rsid w:val="00A2360E"/>
    <w:rsid w:val="00A26E0C"/>
    <w:rsid w:val="00A32FCB"/>
    <w:rsid w:val="00A34C25"/>
    <w:rsid w:val="00A3507D"/>
    <w:rsid w:val="00A3717A"/>
    <w:rsid w:val="00A4088C"/>
    <w:rsid w:val="00A4456B"/>
    <w:rsid w:val="00A448D4"/>
    <w:rsid w:val="00A452E0"/>
    <w:rsid w:val="00A506DF"/>
    <w:rsid w:val="00A51EA5"/>
    <w:rsid w:val="00A53742"/>
    <w:rsid w:val="00A557A1"/>
    <w:rsid w:val="00A63059"/>
    <w:rsid w:val="00A63AE3"/>
    <w:rsid w:val="00A651A4"/>
    <w:rsid w:val="00A71361"/>
    <w:rsid w:val="00A746E2"/>
    <w:rsid w:val="00A81FF2"/>
    <w:rsid w:val="00A83904"/>
    <w:rsid w:val="00A90A79"/>
    <w:rsid w:val="00A96B30"/>
    <w:rsid w:val="00AA442D"/>
    <w:rsid w:val="00AA59B5"/>
    <w:rsid w:val="00AA7777"/>
    <w:rsid w:val="00AA7B84"/>
    <w:rsid w:val="00AC0B4C"/>
    <w:rsid w:val="00AC1164"/>
    <w:rsid w:val="00AC2296"/>
    <w:rsid w:val="00AC2754"/>
    <w:rsid w:val="00AC48B0"/>
    <w:rsid w:val="00AC4ACD"/>
    <w:rsid w:val="00AC5DFB"/>
    <w:rsid w:val="00AD13DC"/>
    <w:rsid w:val="00AD6DE2"/>
    <w:rsid w:val="00AE0A40"/>
    <w:rsid w:val="00AE1ED4"/>
    <w:rsid w:val="00AE21E1"/>
    <w:rsid w:val="00AE2F8D"/>
    <w:rsid w:val="00AE3BAE"/>
    <w:rsid w:val="00AE6A21"/>
    <w:rsid w:val="00AF1C8F"/>
    <w:rsid w:val="00AF2B68"/>
    <w:rsid w:val="00AF2C92"/>
    <w:rsid w:val="00AF3EC1"/>
    <w:rsid w:val="00AF5025"/>
    <w:rsid w:val="00AF519F"/>
    <w:rsid w:val="00AF5387"/>
    <w:rsid w:val="00AF55F5"/>
    <w:rsid w:val="00AF7E86"/>
    <w:rsid w:val="00B024B9"/>
    <w:rsid w:val="00B077FA"/>
    <w:rsid w:val="00B127D7"/>
    <w:rsid w:val="00B13B0C"/>
    <w:rsid w:val="00B14408"/>
    <w:rsid w:val="00B1453A"/>
    <w:rsid w:val="00B20F82"/>
    <w:rsid w:val="00B25BD5"/>
    <w:rsid w:val="00B34079"/>
    <w:rsid w:val="00B3793A"/>
    <w:rsid w:val="00B401BA"/>
    <w:rsid w:val="00B407E4"/>
    <w:rsid w:val="00B425B6"/>
    <w:rsid w:val="00B42A72"/>
    <w:rsid w:val="00B441AE"/>
    <w:rsid w:val="00B45A65"/>
    <w:rsid w:val="00B45F33"/>
    <w:rsid w:val="00B46D50"/>
    <w:rsid w:val="00B53170"/>
    <w:rsid w:val="00B548B9"/>
    <w:rsid w:val="00B56DBE"/>
    <w:rsid w:val="00B62999"/>
    <w:rsid w:val="00B63BE3"/>
    <w:rsid w:val="00B64885"/>
    <w:rsid w:val="00B64FA3"/>
    <w:rsid w:val="00B66810"/>
    <w:rsid w:val="00B72BE3"/>
    <w:rsid w:val="00B73B80"/>
    <w:rsid w:val="00B770C7"/>
    <w:rsid w:val="00B80F26"/>
    <w:rsid w:val="00B822BD"/>
    <w:rsid w:val="00B842F4"/>
    <w:rsid w:val="00B91A7B"/>
    <w:rsid w:val="00B929DD"/>
    <w:rsid w:val="00B93AF6"/>
    <w:rsid w:val="00B95405"/>
    <w:rsid w:val="00B963F1"/>
    <w:rsid w:val="00BA020A"/>
    <w:rsid w:val="00BB025A"/>
    <w:rsid w:val="00BB02A4"/>
    <w:rsid w:val="00BB1270"/>
    <w:rsid w:val="00BB1E44"/>
    <w:rsid w:val="00BB5267"/>
    <w:rsid w:val="00BB52B8"/>
    <w:rsid w:val="00BB59D8"/>
    <w:rsid w:val="00BB7E69"/>
    <w:rsid w:val="00BC0E51"/>
    <w:rsid w:val="00BC3C1F"/>
    <w:rsid w:val="00BC7CE7"/>
    <w:rsid w:val="00BD295E"/>
    <w:rsid w:val="00BD4664"/>
    <w:rsid w:val="00BE1193"/>
    <w:rsid w:val="00BF4849"/>
    <w:rsid w:val="00BF4EA7"/>
    <w:rsid w:val="00BF6525"/>
    <w:rsid w:val="00C00EDB"/>
    <w:rsid w:val="00C02863"/>
    <w:rsid w:val="00C0383A"/>
    <w:rsid w:val="00C067FF"/>
    <w:rsid w:val="00C12862"/>
    <w:rsid w:val="00C13D28"/>
    <w:rsid w:val="00C14585"/>
    <w:rsid w:val="00C165A0"/>
    <w:rsid w:val="00C216CE"/>
    <w:rsid w:val="00C2184F"/>
    <w:rsid w:val="00C22A78"/>
    <w:rsid w:val="00C23C7E"/>
    <w:rsid w:val="00C246C5"/>
    <w:rsid w:val="00C25A82"/>
    <w:rsid w:val="00C30A2A"/>
    <w:rsid w:val="00C33993"/>
    <w:rsid w:val="00C4069E"/>
    <w:rsid w:val="00C41ADC"/>
    <w:rsid w:val="00C44149"/>
    <w:rsid w:val="00C44410"/>
    <w:rsid w:val="00C44A15"/>
    <w:rsid w:val="00C4630A"/>
    <w:rsid w:val="00C523F0"/>
    <w:rsid w:val="00C526D2"/>
    <w:rsid w:val="00C53A91"/>
    <w:rsid w:val="00C5794E"/>
    <w:rsid w:val="00C60968"/>
    <w:rsid w:val="00C63D39"/>
    <w:rsid w:val="00C63EDD"/>
    <w:rsid w:val="00C65B36"/>
    <w:rsid w:val="00C7292E"/>
    <w:rsid w:val="00C74E88"/>
    <w:rsid w:val="00C80924"/>
    <w:rsid w:val="00C8286B"/>
    <w:rsid w:val="00C947F8"/>
    <w:rsid w:val="00C9515F"/>
    <w:rsid w:val="00C963C5"/>
    <w:rsid w:val="00CA030C"/>
    <w:rsid w:val="00CA1F41"/>
    <w:rsid w:val="00CA32EE"/>
    <w:rsid w:val="00CA5771"/>
    <w:rsid w:val="00CA6A1A"/>
    <w:rsid w:val="00CC1E75"/>
    <w:rsid w:val="00CC2E0E"/>
    <w:rsid w:val="00CC361C"/>
    <w:rsid w:val="00CC474B"/>
    <w:rsid w:val="00CC658C"/>
    <w:rsid w:val="00CC67BF"/>
    <w:rsid w:val="00CD0843"/>
    <w:rsid w:val="00CD4E31"/>
    <w:rsid w:val="00CD5A78"/>
    <w:rsid w:val="00CD7345"/>
    <w:rsid w:val="00CE372E"/>
    <w:rsid w:val="00CF0A1B"/>
    <w:rsid w:val="00CF19F6"/>
    <w:rsid w:val="00CF2F4F"/>
    <w:rsid w:val="00CF536D"/>
    <w:rsid w:val="00D02E9D"/>
    <w:rsid w:val="00D10CB8"/>
    <w:rsid w:val="00D12806"/>
    <w:rsid w:val="00D12D44"/>
    <w:rsid w:val="00D15018"/>
    <w:rsid w:val="00D158AC"/>
    <w:rsid w:val="00D1694C"/>
    <w:rsid w:val="00D20F5E"/>
    <w:rsid w:val="00D23B76"/>
    <w:rsid w:val="00D24B4A"/>
    <w:rsid w:val="00D379A3"/>
    <w:rsid w:val="00D45FF3"/>
    <w:rsid w:val="00D512CF"/>
    <w:rsid w:val="00D528B9"/>
    <w:rsid w:val="00D53186"/>
    <w:rsid w:val="00D5487D"/>
    <w:rsid w:val="00D60140"/>
    <w:rsid w:val="00D6024A"/>
    <w:rsid w:val="00D608B5"/>
    <w:rsid w:val="00D64739"/>
    <w:rsid w:val="00D71F99"/>
    <w:rsid w:val="00D73CA4"/>
    <w:rsid w:val="00D73D71"/>
    <w:rsid w:val="00D74396"/>
    <w:rsid w:val="00D80284"/>
    <w:rsid w:val="00D81F71"/>
    <w:rsid w:val="00D8642D"/>
    <w:rsid w:val="00D90A5E"/>
    <w:rsid w:val="00D91A68"/>
    <w:rsid w:val="00D95A68"/>
    <w:rsid w:val="00DA17C7"/>
    <w:rsid w:val="00DA6A9A"/>
    <w:rsid w:val="00DB1EFD"/>
    <w:rsid w:val="00DB3EAF"/>
    <w:rsid w:val="00DB46C6"/>
    <w:rsid w:val="00DC3203"/>
    <w:rsid w:val="00DC3C99"/>
    <w:rsid w:val="00DC52F5"/>
    <w:rsid w:val="00DC5FD0"/>
    <w:rsid w:val="00DD0354"/>
    <w:rsid w:val="00DD27D7"/>
    <w:rsid w:val="00DD458C"/>
    <w:rsid w:val="00DD72E9"/>
    <w:rsid w:val="00DD7605"/>
    <w:rsid w:val="00DE2020"/>
    <w:rsid w:val="00DE3476"/>
    <w:rsid w:val="00DE7BEA"/>
    <w:rsid w:val="00DF5B84"/>
    <w:rsid w:val="00DF6D5B"/>
    <w:rsid w:val="00DF771B"/>
    <w:rsid w:val="00DF7EE2"/>
    <w:rsid w:val="00E01BAA"/>
    <w:rsid w:val="00E0282A"/>
    <w:rsid w:val="00E02F9B"/>
    <w:rsid w:val="00E07E14"/>
    <w:rsid w:val="00E14F94"/>
    <w:rsid w:val="00E17336"/>
    <w:rsid w:val="00E17D15"/>
    <w:rsid w:val="00E22B95"/>
    <w:rsid w:val="00E30331"/>
    <w:rsid w:val="00E30BB8"/>
    <w:rsid w:val="00E31F9C"/>
    <w:rsid w:val="00E40488"/>
    <w:rsid w:val="00E50367"/>
    <w:rsid w:val="00E51ABA"/>
    <w:rsid w:val="00E524CB"/>
    <w:rsid w:val="00E65456"/>
    <w:rsid w:val="00E65A91"/>
    <w:rsid w:val="00E66188"/>
    <w:rsid w:val="00E664FB"/>
    <w:rsid w:val="00E672F0"/>
    <w:rsid w:val="00E70373"/>
    <w:rsid w:val="00E72E40"/>
    <w:rsid w:val="00E73665"/>
    <w:rsid w:val="00E73999"/>
    <w:rsid w:val="00E73BDC"/>
    <w:rsid w:val="00E73E9E"/>
    <w:rsid w:val="00E81660"/>
    <w:rsid w:val="00E854FE"/>
    <w:rsid w:val="00E906CC"/>
    <w:rsid w:val="00E939A0"/>
    <w:rsid w:val="00E97E4E"/>
    <w:rsid w:val="00EA1CC2"/>
    <w:rsid w:val="00EA2D76"/>
    <w:rsid w:val="00EA4644"/>
    <w:rsid w:val="00EA758A"/>
    <w:rsid w:val="00EB096F"/>
    <w:rsid w:val="00EB199F"/>
    <w:rsid w:val="00EB21A4"/>
    <w:rsid w:val="00EB27C4"/>
    <w:rsid w:val="00EB5387"/>
    <w:rsid w:val="00EB5C10"/>
    <w:rsid w:val="00EB7322"/>
    <w:rsid w:val="00EC0FE9"/>
    <w:rsid w:val="00EC198B"/>
    <w:rsid w:val="00EC426D"/>
    <w:rsid w:val="00EC571B"/>
    <w:rsid w:val="00EC57D7"/>
    <w:rsid w:val="00EC6385"/>
    <w:rsid w:val="00ED1DE9"/>
    <w:rsid w:val="00ED23D4"/>
    <w:rsid w:val="00ED5E0B"/>
    <w:rsid w:val="00EE37B6"/>
    <w:rsid w:val="00EF0F45"/>
    <w:rsid w:val="00EF7463"/>
    <w:rsid w:val="00EF7971"/>
    <w:rsid w:val="00F002EF"/>
    <w:rsid w:val="00F01EE9"/>
    <w:rsid w:val="00F04900"/>
    <w:rsid w:val="00F065A4"/>
    <w:rsid w:val="00F126B9"/>
    <w:rsid w:val="00F12715"/>
    <w:rsid w:val="00F144D5"/>
    <w:rsid w:val="00F146F0"/>
    <w:rsid w:val="00F15039"/>
    <w:rsid w:val="00F20FF3"/>
    <w:rsid w:val="00F2190B"/>
    <w:rsid w:val="00F228B5"/>
    <w:rsid w:val="00F2389C"/>
    <w:rsid w:val="00F25C67"/>
    <w:rsid w:val="00F30DFF"/>
    <w:rsid w:val="00F32B80"/>
    <w:rsid w:val="00F340EB"/>
    <w:rsid w:val="00F35285"/>
    <w:rsid w:val="00F43B9D"/>
    <w:rsid w:val="00F44D5E"/>
    <w:rsid w:val="00F53A35"/>
    <w:rsid w:val="00F55A3D"/>
    <w:rsid w:val="00F5744B"/>
    <w:rsid w:val="00F61209"/>
    <w:rsid w:val="00F6259E"/>
    <w:rsid w:val="00F65DD4"/>
    <w:rsid w:val="00F672B2"/>
    <w:rsid w:val="00F83973"/>
    <w:rsid w:val="00F87FA3"/>
    <w:rsid w:val="00F93D8C"/>
    <w:rsid w:val="00FA3102"/>
    <w:rsid w:val="00FA48D4"/>
    <w:rsid w:val="00FA54FA"/>
    <w:rsid w:val="00FA6D39"/>
    <w:rsid w:val="00FB227E"/>
    <w:rsid w:val="00FB3D61"/>
    <w:rsid w:val="00FB44CE"/>
    <w:rsid w:val="00FB5009"/>
    <w:rsid w:val="00FB76AB"/>
    <w:rsid w:val="00FD03FE"/>
    <w:rsid w:val="00FD126E"/>
    <w:rsid w:val="00FD3C36"/>
    <w:rsid w:val="00FD4D81"/>
    <w:rsid w:val="00FD7498"/>
    <w:rsid w:val="00FD7FB3"/>
    <w:rsid w:val="00FE4713"/>
    <w:rsid w:val="00FF1F44"/>
    <w:rsid w:val="00FF225E"/>
    <w:rsid w:val="00FF672C"/>
    <w:rsid w:val="00FF6CE8"/>
  </w:rsids>
  <w:themeFontLang w:bidi="ar-SA" w:val="en-GB"/>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cs="Times New Roman" w:eastAsia="Times New Roman" w:hAnsi="Times New Roman"/>
        <w:lang w:bidi="ar-SA" w:eastAsia="en-GB" w:val="en-GB"/>
      </w:rPr>
    </w:rPrDefault>
    <w:pPrDefault/>
  </w:docDefaults>
  <w:latentStyles w:count="376" w:defLockedState="0" w:defQFormat="0" w:defSemiHidden="0" w:defUIPriority="0" w:defUnhideWhenUsed="0">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EB096F"/>
    <w:pPr>
      <w:spacing w:line="480" w:lineRule="auto"/>
    </w:pPr>
    <w:rPr>
      <w:sz w:val="24"/>
      <w:szCs w:val="24"/>
    </w:rPr>
  </w:style>
  <w:style w:styleId="Heading1" w:type="paragraph">
    <w:name w:val="heading 1"/>
    <w:basedOn w:val="Normal"/>
    <w:next w:val="Paragraph"/>
    <w:link w:val="Heading1Char"/>
    <w:qFormat/>
    <w:rsid w:val="00AE1ED4"/>
    <w:pPr>
      <w:keepNext/>
      <w:spacing w:after="60" w:before="360" w:line="360" w:lineRule="auto"/>
      <w:ind w:right="567"/>
      <w:contextualSpacing/>
      <w:outlineLvl w:val="0"/>
    </w:pPr>
    <w:rPr>
      <w:rFonts w:cs="Arial"/>
      <w:b/>
      <w:bCs/>
      <w:kern w:val="32"/>
      <w:szCs w:val="32"/>
    </w:rPr>
  </w:style>
  <w:style w:styleId="Heading2" w:type="paragraph">
    <w:name w:val="heading 2"/>
    <w:basedOn w:val="Normal"/>
    <w:next w:val="Paragraph"/>
    <w:link w:val="Heading2Char"/>
    <w:qFormat/>
    <w:rsid w:val="008D07FB"/>
    <w:pPr>
      <w:keepNext/>
      <w:spacing w:after="60" w:before="360" w:line="360" w:lineRule="auto"/>
      <w:ind w:right="567"/>
      <w:contextualSpacing/>
      <w:outlineLvl w:val="1"/>
    </w:pPr>
    <w:rPr>
      <w:rFonts w:cs="Arial"/>
      <w:b/>
      <w:bCs/>
      <w:i/>
      <w:iCs/>
      <w:szCs w:val="28"/>
    </w:rPr>
  </w:style>
  <w:style w:styleId="Heading3" w:type="paragraph">
    <w:name w:val="heading 3"/>
    <w:basedOn w:val="Normal"/>
    <w:next w:val="Paragraph"/>
    <w:link w:val="Heading3Char"/>
    <w:qFormat/>
    <w:rsid w:val="00DF7EE2"/>
    <w:pPr>
      <w:keepNext/>
      <w:spacing w:after="60" w:before="360" w:line="360" w:lineRule="auto"/>
      <w:ind w:right="567"/>
      <w:contextualSpacing/>
      <w:outlineLvl w:val="2"/>
    </w:pPr>
    <w:rPr>
      <w:rFonts w:cs="Arial"/>
      <w:bCs/>
      <w:i/>
      <w:szCs w:val="26"/>
    </w:rPr>
  </w:style>
  <w:style w:styleId="Heading4" w:type="paragraph">
    <w:name w:val="heading 4"/>
    <w:basedOn w:val="Paragraph"/>
    <w:next w:val="Newparagraph"/>
    <w:link w:val="Heading4Char"/>
    <w:rsid w:val="00F43B9D"/>
    <w:pPr>
      <w:spacing w:before="360"/>
      <w:outlineLvl w:val="3"/>
    </w:pPr>
    <w:rPr>
      <w:bCs/>
      <w:szCs w:val="2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Articletitle" w:type="paragraph">
    <w:name w:val="Article title"/>
    <w:basedOn w:val="Normal"/>
    <w:next w:val="Normal"/>
    <w:qFormat/>
    <w:rsid w:val="0024692A"/>
    <w:pPr>
      <w:spacing w:after="120" w:line="360" w:lineRule="auto"/>
    </w:pPr>
    <w:rPr>
      <w:b/>
      <w:sz w:val="28"/>
    </w:rPr>
  </w:style>
  <w:style w:customStyle="1" w:styleId="Authornames" w:type="paragraph">
    <w:name w:val="Author names"/>
    <w:basedOn w:val="Normal"/>
    <w:next w:val="Normal"/>
    <w:qFormat/>
    <w:rsid w:val="00F04900"/>
    <w:pPr>
      <w:spacing w:before="240" w:line="360" w:lineRule="auto"/>
    </w:pPr>
    <w:rPr>
      <w:sz w:val="28"/>
    </w:rPr>
  </w:style>
  <w:style w:customStyle="1" w:styleId="Affiliation" w:type="paragraph">
    <w:name w:val="Affiliation"/>
    <w:basedOn w:val="Normal"/>
    <w:qFormat/>
    <w:rsid w:val="00F04900"/>
    <w:pPr>
      <w:spacing w:before="240" w:line="360" w:lineRule="auto"/>
    </w:pPr>
    <w:rPr>
      <w:i/>
    </w:rPr>
  </w:style>
  <w:style w:customStyle="1" w:styleId="Receiveddates" w:type="paragraph">
    <w:name w:val="Received dates"/>
    <w:basedOn w:val="Affiliation"/>
    <w:next w:val="Normal"/>
    <w:qFormat/>
    <w:rsid w:val="00CC474B"/>
  </w:style>
  <w:style w:customStyle="1" w:styleId="Abstract" w:type="paragraph">
    <w:name w:val="Abstract"/>
    <w:basedOn w:val="Normal"/>
    <w:next w:val="Keywords"/>
    <w:qFormat/>
    <w:rsid w:val="00310E13"/>
    <w:pPr>
      <w:spacing w:after="300" w:before="360" w:line="360" w:lineRule="auto"/>
      <w:ind w:left="720" w:right="567"/>
    </w:pPr>
    <w:rPr>
      <w:sz w:val="22"/>
    </w:rPr>
  </w:style>
  <w:style w:customStyle="1" w:styleId="Keywords" w:type="paragraph">
    <w:name w:val="Keywords"/>
    <w:basedOn w:val="Normal"/>
    <w:next w:val="Paragraph"/>
    <w:qFormat/>
    <w:rsid w:val="00BB1270"/>
    <w:pPr>
      <w:spacing w:after="240" w:before="240" w:line="360" w:lineRule="auto"/>
      <w:ind w:left="720" w:right="567"/>
    </w:pPr>
    <w:rPr>
      <w:sz w:val="22"/>
    </w:rPr>
  </w:style>
  <w:style w:customStyle="1" w:styleId="Correspondencedetails" w:type="paragraph">
    <w:name w:val="Correspondence details"/>
    <w:basedOn w:val="Normal"/>
    <w:qFormat/>
    <w:rsid w:val="00F04900"/>
    <w:pPr>
      <w:spacing w:before="240" w:line="360" w:lineRule="auto"/>
    </w:pPr>
  </w:style>
  <w:style w:customStyle="1" w:styleId="Displayedquotation" w:type="paragraph">
    <w:name w:val="Displayed quotation"/>
    <w:basedOn w:val="Normal"/>
    <w:qFormat/>
    <w:rsid w:val="00731835"/>
    <w:pPr>
      <w:tabs>
        <w:tab w:pos="1077" w:val="left"/>
        <w:tab w:pos="1440" w:val="left"/>
        <w:tab w:pos="1797" w:val="left"/>
        <w:tab w:pos="2155" w:val="left"/>
        <w:tab w:pos="2512" w:val="left"/>
      </w:tabs>
      <w:spacing w:after="360" w:before="240" w:line="360" w:lineRule="auto"/>
      <w:ind w:left="709" w:right="425"/>
      <w:contextualSpacing/>
    </w:pPr>
    <w:rPr>
      <w:sz w:val="22"/>
    </w:rPr>
  </w:style>
  <w:style w:customStyle="1" w:styleId="Numberedlist" w:type="paragraph">
    <w:name w:val="Numbered list"/>
    <w:basedOn w:val="Paragraph"/>
    <w:next w:val="Paragraph"/>
    <w:qFormat/>
    <w:rsid w:val="00D80284"/>
    <w:pPr>
      <w:widowControl/>
      <w:numPr>
        <w:numId w:val="24"/>
      </w:numPr>
      <w:spacing w:after="240"/>
      <w:contextualSpacing/>
    </w:pPr>
  </w:style>
  <w:style w:customStyle="1" w:styleId="Displayedequation" w:type="paragraph">
    <w:name w:val="Displayed equation"/>
    <w:basedOn w:val="Normal"/>
    <w:next w:val="Paragraph"/>
    <w:qFormat/>
    <w:rsid w:val="00EF0F45"/>
    <w:pPr>
      <w:tabs>
        <w:tab w:pos="4253" w:val="center"/>
        <w:tab w:pos="8222" w:val="right"/>
      </w:tabs>
      <w:spacing w:after="240" w:before="240"/>
      <w:jc w:val="center"/>
    </w:pPr>
  </w:style>
  <w:style w:customStyle="1" w:styleId="Acknowledgements" w:type="paragraph">
    <w:name w:val="Acknowledgements"/>
    <w:basedOn w:val="Normal"/>
    <w:next w:val="Normal"/>
    <w:qFormat/>
    <w:rsid w:val="00D379A3"/>
    <w:pPr>
      <w:spacing w:before="120" w:line="360" w:lineRule="auto"/>
    </w:pPr>
    <w:rPr>
      <w:sz w:val="22"/>
    </w:rPr>
  </w:style>
  <w:style w:customStyle="1" w:styleId="Tabletitle" w:type="paragraph">
    <w:name w:val="Table title"/>
    <w:basedOn w:val="Normal"/>
    <w:next w:val="Normal"/>
    <w:qFormat/>
    <w:rsid w:val="0031686C"/>
    <w:pPr>
      <w:spacing w:before="240" w:line="360" w:lineRule="auto"/>
    </w:pPr>
  </w:style>
  <w:style w:customStyle="1" w:styleId="Figurecaption" w:type="paragraph">
    <w:name w:val="Figure caption"/>
    <w:basedOn w:val="Normal"/>
    <w:next w:val="Normal"/>
    <w:qFormat/>
    <w:rsid w:val="0031686C"/>
    <w:pPr>
      <w:spacing w:before="240" w:line="360" w:lineRule="auto"/>
    </w:pPr>
  </w:style>
  <w:style w:customStyle="1" w:styleId="Footnotes" w:type="paragraph">
    <w:name w:val="Footnotes"/>
    <w:basedOn w:val="Normal"/>
    <w:qFormat/>
    <w:rsid w:val="006C6936"/>
    <w:pPr>
      <w:spacing w:before="120" w:line="360" w:lineRule="auto"/>
      <w:ind w:hanging="482" w:left="482"/>
      <w:contextualSpacing/>
    </w:pPr>
    <w:rPr>
      <w:sz w:val="22"/>
    </w:rPr>
  </w:style>
  <w:style w:customStyle="1" w:styleId="Notesoncontributors" w:type="paragraph">
    <w:name w:val="Notes on contributors"/>
    <w:basedOn w:val="Normal"/>
    <w:qFormat/>
    <w:rsid w:val="00F04900"/>
    <w:pPr>
      <w:spacing w:before="240" w:line="360" w:lineRule="auto"/>
    </w:pPr>
    <w:rPr>
      <w:sz w:val="22"/>
    </w:rPr>
  </w:style>
  <w:style w:customStyle="1" w:styleId="Normalparagraphstyle" w:type="paragraph">
    <w:name w:val="Normal paragraph style"/>
    <w:basedOn w:val="Normal"/>
    <w:next w:val="Normal"/>
    <w:rsid w:val="00562DEF"/>
  </w:style>
  <w:style w:customStyle="1" w:styleId="Paragraph" w:type="paragraph">
    <w:name w:val="Paragraph"/>
    <w:basedOn w:val="Normal"/>
    <w:next w:val="Newparagraph"/>
    <w:qFormat/>
    <w:rsid w:val="001B7681"/>
    <w:pPr>
      <w:widowControl w:val="0"/>
      <w:spacing w:before="240"/>
    </w:pPr>
  </w:style>
  <w:style w:customStyle="1" w:styleId="Newparagraph" w:type="paragraph">
    <w:name w:val="New paragraph"/>
    <w:basedOn w:val="Normal"/>
    <w:qFormat/>
    <w:rsid w:val="00AE2F8D"/>
    <w:pPr>
      <w:ind w:firstLine="720"/>
    </w:pPr>
  </w:style>
  <w:style w:styleId="NormalIndent" w:type="paragraph">
    <w:name w:val="Normal Indent"/>
    <w:basedOn w:val="Normal"/>
    <w:rsid w:val="00526454"/>
    <w:pPr>
      <w:ind w:left="720"/>
    </w:pPr>
  </w:style>
  <w:style w:customStyle="1" w:styleId="References" w:type="paragraph">
    <w:name w:val="References"/>
    <w:basedOn w:val="Normal"/>
    <w:qFormat/>
    <w:rsid w:val="002C53EE"/>
    <w:pPr>
      <w:spacing w:before="120" w:line="360" w:lineRule="auto"/>
      <w:ind w:hanging="720" w:left="720"/>
      <w:contextualSpacing/>
    </w:pPr>
  </w:style>
  <w:style w:customStyle="1" w:styleId="Subjectcodes" w:type="paragraph">
    <w:name w:val="Subject codes"/>
    <w:basedOn w:val="Keywords"/>
    <w:next w:val="Paragraph"/>
    <w:qFormat/>
    <w:rsid w:val="0000681B"/>
  </w:style>
  <w:style w:customStyle="1" w:styleId="Heading2Char" w:type="character">
    <w:name w:val="Heading 2 Char"/>
    <w:basedOn w:val="DefaultParagraphFont"/>
    <w:link w:val="Heading2"/>
    <w:rsid w:val="008D07FB"/>
    <w:rPr>
      <w:rFonts w:cs="Arial"/>
      <w:b/>
      <w:bCs/>
      <w:i/>
      <w:iCs/>
      <w:sz w:val="24"/>
      <w:szCs w:val="28"/>
    </w:rPr>
  </w:style>
  <w:style w:customStyle="1" w:styleId="Heading1Char" w:type="character">
    <w:name w:val="Heading 1 Char"/>
    <w:basedOn w:val="DefaultParagraphFont"/>
    <w:link w:val="Heading1"/>
    <w:rsid w:val="00AE1ED4"/>
    <w:rPr>
      <w:rFonts w:cs="Arial"/>
      <w:b/>
      <w:bCs/>
      <w:kern w:val="32"/>
      <w:sz w:val="24"/>
      <w:szCs w:val="32"/>
    </w:rPr>
  </w:style>
  <w:style w:customStyle="1" w:styleId="Heading3Char" w:type="character">
    <w:name w:val="Heading 3 Char"/>
    <w:basedOn w:val="DefaultParagraphFont"/>
    <w:link w:val="Heading3"/>
    <w:rsid w:val="00DF7EE2"/>
    <w:rPr>
      <w:rFonts w:cs="Arial" w:eastAsia="Times New Roman"/>
      <w:bCs/>
      <w:i/>
      <w:sz w:val="24"/>
      <w:szCs w:val="26"/>
      <w:lang w:eastAsia="en-GB"/>
    </w:rPr>
  </w:style>
  <w:style w:customStyle="1" w:styleId="Bulletedlist" w:type="paragraph">
    <w:name w:val="Bulleted list"/>
    <w:basedOn w:val="Paragraph"/>
    <w:next w:val="Paragraph"/>
    <w:qFormat/>
    <w:rsid w:val="004E0338"/>
    <w:pPr>
      <w:widowControl/>
      <w:numPr>
        <w:numId w:val="28"/>
      </w:numPr>
      <w:spacing w:after="240"/>
      <w:contextualSpacing/>
    </w:pPr>
  </w:style>
  <w:style w:styleId="FootnoteText" w:type="paragraph">
    <w:name w:val="footnote text"/>
    <w:basedOn w:val="Normal"/>
    <w:link w:val="FootnoteTextChar"/>
    <w:autoRedefine/>
    <w:rsid w:val="006C19B2"/>
    <w:pPr>
      <w:ind w:hanging="284" w:left="284"/>
    </w:pPr>
    <w:rPr>
      <w:sz w:val="22"/>
      <w:szCs w:val="20"/>
    </w:rPr>
  </w:style>
  <w:style w:customStyle="1" w:styleId="FootnoteTextChar" w:type="character">
    <w:name w:val="Footnote Text Char"/>
    <w:basedOn w:val="DefaultParagraphFont"/>
    <w:link w:val="FootnoteText"/>
    <w:rsid w:val="006C19B2"/>
    <w:rPr>
      <w:sz w:val="22"/>
    </w:rPr>
  </w:style>
  <w:style w:styleId="FootnoteReference" w:type="character">
    <w:name w:val="footnote reference"/>
    <w:basedOn w:val="DefaultParagraphFont"/>
    <w:rsid w:val="00AF2C92"/>
    <w:rPr>
      <w:vertAlign w:val="superscript"/>
    </w:rPr>
  </w:style>
  <w:style w:styleId="EndnoteText" w:type="paragraph">
    <w:name w:val="endnote text"/>
    <w:basedOn w:val="Normal"/>
    <w:link w:val="EndnoteTextChar"/>
    <w:autoRedefine/>
    <w:rsid w:val="006C19B2"/>
    <w:pPr>
      <w:ind w:hanging="284" w:left="284"/>
    </w:pPr>
    <w:rPr>
      <w:sz w:val="22"/>
      <w:szCs w:val="20"/>
    </w:rPr>
  </w:style>
  <w:style w:customStyle="1" w:styleId="EndnoteTextChar" w:type="character">
    <w:name w:val="Endnote Text Char"/>
    <w:basedOn w:val="DefaultParagraphFont"/>
    <w:link w:val="EndnoteText"/>
    <w:rsid w:val="006C19B2"/>
    <w:rPr>
      <w:sz w:val="22"/>
    </w:rPr>
  </w:style>
  <w:style w:styleId="EndnoteReference" w:type="character">
    <w:name w:val="endnote reference"/>
    <w:basedOn w:val="DefaultParagraphFont"/>
    <w:rsid w:val="00EC571B"/>
    <w:rPr>
      <w:vertAlign w:val="superscript"/>
    </w:rPr>
  </w:style>
  <w:style w:customStyle="1" w:styleId="Heading4Char" w:type="character">
    <w:name w:val="Heading 4 Char"/>
    <w:basedOn w:val="DefaultParagraphFont"/>
    <w:link w:val="Heading4"/>
    <w:rsid w:val="00F43B9D"/>
    <w:rPr>
      <w:bCs/>
      <w:sz w:val="24"/>
      <w:szCs w:val="28"/>
    </w:rPr>
  </w:style>
  <w:style w:styleId="Header" w:type="paragraph">
    <w:name w:val="header"/>
    <w:basedOn w:val="Normal"/>
    <w:link w:val="HeaderChar"/>
    <w:rsid w:val="003F193A"/>
    <w:pPr>
      <w:tabs>
        <w:tab w:pos="4320" w:val="center"/>
        <w:tab w:pos="8640" w:val="right"/>
      </w:tabs>
      <w:spacing w:after="120" w:line="240" w:lineRule="auto"/>
      <w:contextualSpacing/>
    </w:pPr>
  </w:style>
  <w:style w:customStyle="1" w:styleId="HeaderChar" w:type="character">
    <w:name w:val="Header Char"/>
    <w:basedOn w:val="DefaultParagraphFont"/>
    <w:link w:val="Header"/>
    <w:rsid w:val="003F193A"/>
    <w:rPr>
      <w:rFonts w:eastAsia="Times New Roman"/>
      <w:sz w:val="24"/>
      <w:szCs w:val="24"/>
      <w:lang w:eastAsia="en-GB"/>
    </w:rPr>
  </w:style>
  <w:style w:styleId="Footer" w:type="paragraph">
    <w:name w:val="footer"/>
    <w:basedOn w:val="Normal"/>
    <w:link w:val="FooterChar"/>
    <w:rsid w:val="00AE6A21"/>
    <w:pPr>
      <w:tabs>
        <w:tab w:pos="4320" w:val="center"/>
        <w:tab w:pos="8640" w:val="right"/>
      </w:tabs>
      <w:spacing w:before="240" w:line="240" w:lineRule="auto"/>
      <w:contextualSpacing/>
    </w:pPr>
  </w:style>
  <w:style w:customStyle="1" w:styleId="FooterChar" w:type="character">
    <w:name w:val="Footer Char"/>
    <w:basedOn w:val="DefaultParagraphFont"/>
    <w:link w:val="Footer"/>
    <w:rsid w:val="00AE6A21"/>
    <w:rPr>
      <w:sz w:val="24"/>
      <w:szCs w:val="24"/>
    </w:rPr>
  </w:style>
  <w:style w:customStyle="1" w:styleId="Heading4Paragraph" w:type="paragraph">
    <w:name w:val="Heading 4 + Paragraph"/>
    <w:basedOn w:val="Paragraph"/>
    <w:next w:val="Newparagraph"/>
    <w:qFormat/>
    <w:rsid w:val="00AE1ED4"/>
    <w:pPr>
      <w:widowControl/>
      <w:spacing w:before="360"/>
    </w:p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9926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46" Target="media/rId46.png" /><Relationship Type="http://schemas.openxmlformats.org/officeDocument/2006/relationships/image" Id="rId32" Target="media/rId32.png" /><Relationship Type="http://schemas.openxmlformats.org/officeDocument/2006/relationships/image" Id="rId37" Target="media/rId37.png" /><Relationship Type="http://schemas.openxmlformats.org/officeDocument/2006/relationships/hyperlink" Id="rId66" Target="https://doi.org/10.1017/S0003055417000375" TargetMode="External" /><Relationship Type="http://schemas.openxmlformats.org/officeDocument/2006/relationships/hyperlink" Id="rId61" Target="https://doi.org/10.1093/oxfordjournals.pan.a029814" TargetMode="External" /><Relationship Type="http://schemas.openxmlformats.org/officeDocument/2006/relationships/hyperlink" Id="rId52" Target="https://doi.org/10.1201/9781315197609" TargetMode="External" /><Relationship Type="http://schemas.openxmlformats.org/officeDocument/2006/relationships/hyperlink" Id="rId64" Target="https://doi.org/10.2307/1519920" TargetMode="External" /><Relationship Type="http://schemas.openxmlformats.org/officeDocument/2006/relationships/hyperlink" Id="rId49" Target="https://doi.org/10.2307/2669306" TargetMode="External" /><Relationship Type="http://schemas.openxmlformats.org/officeDocument/2006/relationships/hyperlink" Id="rId24" Target="https://github.com/palesl/teal_ideal" TargetMode="External" /><Relationship Type="http://schemas.openxmlformats.org/officeDocument/2006/relationships/hyperlink" Id="rId55" Target="https://www.afr.com/politics/federal/more-bird-flu-infection-outbreaks-predicted-20240610-p5jkq7" TargetMode="External" /><Relationship Type="http://schemas.openxmlformats.org/officeDocument/2006/relationships/hyperlink" Id="rId30" Target="https://www.aph.gov.au/-/media/05_About_Parliament/53_HoR/532_PPP/Standing_Orders/Chapter_11.pdf?la=en&amp;hash=0E12F46DE9536BE72B3C103C96C8EF8788E8B1CB" TargetMode="External" /><Relationship Type="http://schemas.openxmlformats.org/officeDocument/2006/relationships/hyperlink" Id="rId23" Target="https://www.aph.gov.au/divisions" TargetMode="External" /><Relationship Type="http://schemas.openxmlformats.org/officeDocument/2006/relationships/hyperlink" Id="rId43" Target="https://www.aph.gov.au/divisions/Details?id=1795" TargetMode="External" /><Relationship Type="http://schemas.openxmlformats.org/officeDocument/2006/relationships/hyperlink" Id="rId44" Target="https://www.aph.gov.au/divisions/Details?id=1831" TargetMode="External" /><Relationship Type="http://schemas.openxmlformats.org/officeDocument/2006/relationships/hyperlink" Id="rId42" Target="https://www.aph.gov.au/divisions/Details?id=1990" TargetMode="External" /><Relationship Type="http://schemas.openxmlformats.org/officeDocument/2006/relationships/hyperlink" Id="rId22" Target="https://www.aph.gov.au/divisions/Details?id=2030" TargetMode="External" /><Relationship Type="http://schemas.openxmlformats.org/officeDocument/2006/relationships/hyperlink" Id="rId41" Target="https://www.aph.gov.au/divisions/Details?id=2238" TargetMode="External" /><Relationship Type="http://schemas.openxmlformats.org/officeDocument/2006/relationships/hyperlink" Id="rId28" Target="https://www.cambridge.org/core/journals/american-political-science-review/article/abs/strategic-opposition-and-government-cohesion-in-westminster-democracies/E4A2627A7205F3C2297555B7806CFD95" TargetMode="External" /><Relationship Type="http://schemas.openxmlformats.org/officeDocument/2006/relationships/hyperlink" Id="rId21" Target="https://www.climate200.com.au/about-us" TargetMode="External" /><Relationship Type="http://schemas.openxmlformats.org/officeDocument/2006/relationships/hyperlink" Id="rId27" Target="https://www.jstor.org/stable/3088393" TargetMode="External" /></Relationships>
</file>

<file path=word/_rels/footnotes.xml.rels><?xml version="1.0" encoding="UTF-8"?><Relationships xmlns="http://schemas.openxmlformats.org/package/2006/relationships"><Relationship Type="http://schemas.openxmlformats.org/officeDocument/2006/relationships/hyperlink" Id="rId66" Target="https://doi.org/10.1017/S0003055417000375" TargetMode="External" /><Relationship Type="http://schemas.openxmlformats.org/officeDocument/2006/relationships/hyperlink" Id="rId61" Target="https://doi.org/10.1093/oxfordjournals.pan.a029814" TargetMode="External" /><Relationship Type="http://schemas.openxmlformats.org/officeDocument/2006/relationships/hyperlink" Id="rId52" Target="https://doi.org/10.1201/9781315197609" TargetMode="External" /><Relationship Type="http://schemas.openxmlformats.org/officeDocument/2006/relationships/hyperlink" Id="rId64" Target="https://doi.org/10.2307/1519920" TargetMode="External" /><Relationship Type="http://schemas.openxmlformats.org/officeDocument/2006/relationships/hyperlink" Id="rId49" Target="https://doi.org/10.2307/2669306" TargetMode="External" /><Relationship Type="http://schemas.openxmlformats.org/officeDocument/2006/relationships/hyperlink" Id="rId24" Target="https://github.com/palesl/teal_ideal" TargetMode="External" /><Relationship Type="http://schemas.openxmlformats.org/officeDocument/2006/relationships/hyperlink" Id="rId55" Target="https://www.afr.com/politics/federal/more-bird-flu-infection-outbreaks-predicted-20240610-p5jkq7" TargetMode="External" /><Relationship Type="http://schemas.openxmlformats.org/officeDocument/2006/relationships/hyperlink" Id="rId30" Target="https://www.aph.gov.au/-/media/05_About_Parliament/53_HoR/532_PPP/Standing_Orders/Chapter_11.pdf?la=en&amp;hash=0E12F46DE9536BE72B3C103C96C8EF8788E8B1CB" TargetMode="External" /><Relationship Type="http://schemas.openxmlformats.org/officeDocument/2006/relationships/hyperlink" Id="rId23" Target="https://www.aph.gov.au/divisions" TargetMode="External" /><Relationship Type="http://schemas.openxmlformats.org/officeDocument/2006/relationships/hyperlink" Id="rId43" Target="https://www.aph.gov.au/divisions/Details?id=1795" TargetMode="External" /><Relationship Type="http://schemas.openxmlformats.org/officeDocument/2006/relationships/hyperlink" Id="rId44" Target="https://www.aph.gov.au/divisions/Details?id=1831" TargetMode="External" /><Relationship Type="http://schemas.openxmlformats.org/officeDocument/2006/relationships/hyperlink" Id="rId42" Target="https://www.aph.gov.au/divisions/Details?id=1990" TargetMode="External" /><Relationship Type="http://schemas.openxmlformats.org/officeDocument/2006/relationships/hyperlink" Id="rId22" Target="https://www.aph.gov.au/divisions/Details?id=2030" TargetMode="External" /><Relationship Type="http://schemas.openxmlformats.org/officeDocument/2006/relationships/hyperlink" Id="rId41" Target="https://www.aph.gov.au/divisions/Details?id=2238" TargetMode="External" /><Relationship Type="http://schemas.openxmlformats.org/officeDocument/2006/relationships/hyperlink" Id="rId28" Target="https://www.cambridge.org/core/journals/american-political-science-review/article/abs/strategic-opposition-and-government-cohesion-in-westminster-democracies/E4A2627A7205F3C2297555B7806CFD95" TargetMode="External" /><Relationship Type="http://schemas.openxmlformats.org/officeDocument/2006/relationships/hyperlink" Id="rId21" Target="https://www.climate200.com.au/about-us" TargetMode="External" /><Relationship Type="http://schemas.openxmlformats.org/officeDocument/2006/relationships/hyperlink" Id="rId27" Target="https://www.jstor.org/stable/308839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references.dotx</Template>
  <TotalTime>1</TotalTime>
  <Pages>3</Pages>
  <Words>283</Words>
  <Characters>1618</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TF_Template_Word_Windows_2016</vt:lpstr>
    </vt:vector>
  </TitlesOfParts>
  <Company>Informa Plc</Company>
  <LinksUpToDate>false</LinksUpToDate>
  <CharactersWithSpaces>1898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parliamentary voting behaviour of ‘teal’ independent MPs</dc:title>
  <dc:creator>Pat Leslie</dc:creator>
  <cp:keywords/>
  <dcterms:created xsi:type="dcterms:W3CDTF">2025-02-07T04:16:29Z</dcterms:created>
  <dcterms:modified xsi:type="dcterms:W3CDTF">2025-02-07T04:16:29Z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abstract goes here</vt:lpwstr>
  </property>
  <property fmtid="{D5CDD505-2E9C-101B-9397-08002B2CF9AE}" pid="3" name="abstract-title">
    <vt:lpwstr>Abstract</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uthor">
    <vt:lpwstr/>
  </property>
  <property fmtid="{D5CDD505-2E9C-101B-9397-08002B2CF9AE}" pid="8" name="date">
    <vt:lpwstr>2025-02-07</vt:lpwstr>
  </property>
  <property fmtid="{D5CDD505-2E9C-101B-9397-08002B2CF9AE}" pid="9" name="editor">
    <vt:lpwstr>visual</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oc-title">
    <vt:lpwstr>Table of contents</vt:lpwstr>
  </property>
</Properties>
</file>